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A2021" w14:textId="77777777" w:rsidR="002428BB" w:rsidRPr="00E37209" w:rsidRDefault="002428BB" w:rsidP="002428BB">
      <w:pPr>
        <w:jc w:val="center"/>
        <w:rPr>
          <w:rFonts w:ascii="Tahoma" w:hAnsi="Tahoma" w:cs="Tahoma"/>
          <w:b/>
          <w:sz w:val="36"/>
          <w:szCs w:val="36"/>
        </w:rPr>
      </w:pPr>
      <w:r w:rsidRPr="00E37209">
        <w:rPr>
          <w:rFonts w:ascii="Tahoma" w:hAnsi="Tahoma" w:cs="Tahoma"/>
          <w:b/>
          <w:sz w:val="36"/>
          <w:szCs w:val="36"/>
        </w:rPr>
        <w:t>Přijímačky SŠ: silné ročníky čeká zklamání. Tisíce uchazečů se na vysněnou školu nedostanou</w:t>
      </w:r>
    </w:p>
    <w:p w14:paraId="0ADD7807" w14:textId="77777777" w:rsidR="002154D3" w:rsidRPr="00EE11AE" w:rsidRDefault="002154D3" w:rsidP="002154D3">
      <w:pPr>
        <w:jc w:val="both"/>
        <w:rPr>
          <w:rFonts w:ascii="Tahoma" w:hAnsi="Tahoma" w:cs="Tahoma"/>
          <w:b/>
          <w:color w:val="000000" w:themeColor="text1"/>
          <w:sz w:val="20"/>
          <w:szCs w:val="20"/>
        </w:rPr>
      </w:pPr>
      <w:r w:rsidRPr="00EE11AE">
        <w:rPr>
          <w:rFonts w:ascii="Tahoma" w:hAnsi="Tahoma" w:cs="Tahoma"/>
          <w:b/>
          <w:sz w:val="20"/>
          <w:szCs w:val="20"/>
        </w:rPr>
        <w:t>PRAHA, 3. PROSINCE 2024 – Necelé dva měsíce dělí desetitisíce žáků základních škol od rozhodnutí, kam jít dál studovat. Konkurence bude obrovská, k </w:t>
      </w:r>
      <w:r>
        <w:rPr>
          <w:rFonts w:ascii="Tahoma" w:hAnsi="Tahoma" w:cs="Tahoma"/>
          <w:b/>
          <w:sz w:val="20"/>
          <w:szCs w:val="20"/>
        </w:rPr>
        <w:t>přijímačkám</w:t>
      </w:r>
      <w:r w:rsidRPr="00EE11AE">
        <w:rPr>
          <w:rFonts w:ascii="Tahoma" w:hAnsi="Tahoma" w:cs="Tahoma"/>
          <w:b/>
          <w:sz w:val="20"/>
          <w:szCs w:val="20"/>
        </w:rPr>
        <w:t xml:space="preserve"> míří jeden z nejsilnějších ročníků. </w:t>
      </w:r>
      <w:r w:rsidRPr="00EE11AE">
        <w:rPr>
          <w:rFonts w:ascii="Tahoma" w:hAnsi="Tahoma" w:cs="Tahoma"/>
          <w:b/>
          <w:color w:val="000000" w:themeColor="text1"/>
          <w:sz w:val="20"/>
          <w:szCs w:val="20"/>
        </w:rPr>
        <w:t xml:space="preserve">Přihlášky ke studiu musejí </w:t>
      </w:r>
      <w:r>
        <w:rPr>
          <w:rFonts w:ascii="Tahoma" w:hAnsi="Tahoma" w:cs="Tahoma"/>
          <w:b/>
          <w:color w:val="000000" w:themeColor="text1"/>
          <w:sz w:val="20"/>
          <w:szCs w:val="20"/>
        </w:rPr>
        <w:t xml:space="preserve">uchazeči </w:t>
      </w:r>
      <w:r w:rsidRPr="00EE11AE">
        <w:rPr>
          <w:rFonts w:ascii="Tahoma" w:hAnsi="Tahoma" w:cs="Tahoma"/>
          <w:b/>
          <w:color w:val="000000" w:themeColor="text1"/>
          <w:sz w:val="20"/>
          <w:szCs w:val="20"/>
        </w:rPr>
        <w:t>odevzdat do 20. února.</w:t>
      </w:r>
    </w:p>
    <w:p w14:paraId="6D5254B8" w14:textId="42D819FD" w:rsidR="002154D3" w:rsidRPr="00EE11AE" w:rsidRDefault="002154D3" w:rsidP="002154D3">
      <w:pPr>
        <w:jc w:val="both"/>
        <w:rPr>
          <w:rFonts w:ascii="Tahoma" w:hAnsi="Tahoma" w:cs="Tahoma"/>
          <w:bCs/>
          <w:sz w:val="20"/>
          <w:szCs w:val="20"/>
        </w:rPr>
      </w:pPr>
      <w:r w:rsidRPr="00EE11AE">
        <w:rPr>
          <w:rFonts w:ascii="Tahoma" w:hAnsi="Tahoma" w:cs="Tahoma"/>
          <w:sz w:val="20"/>
          <w:szCs w:val="20"/>
        </w:rPr>
        <w:t xml:space="preserve">V loňském roce proběhlo přijímací řízení na střední školy </w:t>
      </w:r>
      <w:r>
        <w:rPr>
          <w:rFonts w:ascii="Tahoma" w:hAnsi="Tahoma" w:cs="Tahoma"/>
          <w:sz w:val="20"/>
          <w:szCs w:val="20"/>
        </w:rPr>
        <w:t xml:space="preserve">poprvé </w:t>
      </w:r>
      <w:r w:rsidRPr="00EE11AE">
        <w:rPr>
          <w:rFonts w:ascii="Tahoma" w:hAnsi="Tahoma" w:cs="Tahoma"/>
          <w:sz w:val="20"/>
          <w:szCs w:val="20"/>
        </w:rPr>
        <w:t xml:space="preserve">podle nových pravidel. I letos se budou deváťáci hlásit na střední školy primárně elektronicky. </w:t>
      </w:r>
      <w:r w:rsidRPr="00EE11AE">
        <w:rPr>
          <w:rFonts w:ascii="Tahoma" w:hAnsi="Tahoma" w:cs="Tahoma"/>
          <w:bCs/>
          <w:noProof/>
          <w:color w:val="CC9900"/>
          <w:sz w:val="20"/>
          <w:szCs w:val="20"/>
        </w:rPr>
        <w:t>„V rámci prvního kola přijímacího řízení je nutné přihlášku odevzdat mezi 1. až 20. únorem. Podat přihlášku na tři střední školy je možné třemi způsoby. Tím prvním je elektronické podání s ověřenou elektronickou identitou, druhým podání výpisu vytištěného z online systém</w:t>
      </w:r>
      <w:r w:rsidR="002428BB">
        <w:rPr>
          <w:rFonts w:ascii="Tahoma" w:hAnsi="Tahoma" w:cs="Tahoma"/>
          <w:bCs/>
          <w:noProof/>
          <w:color w:val="CC9900"/>
          <w:sz w:val="20"/>
          <w:szCs w:val="20"/>
        </w:rPr>
        <w:t xml:space="preserve">u . takzvaná </w:t>
      </w:r>
      <w:r w:rsidR="002428BB" w:rsidRPr="002428BB">
        <w:rPr>
          <w:rFonts w:ascii="Tahoma" w:hAnsi="Tahoma" w:cs="Tahoma"/>
          <w:bCs/>
          <w:noProof/>
          <w:color w:val="CC9900"/>
          <w:sz w:val="20"/>
          <w:szCs w:val="20"/>
        </w:rPr>
        <w:t xml:space="preserve">hybridní přihláška </w:t>
      </w:r>
      <w:r w:rsidRPr="00EE11AE">
        <w:rPr>
          <w:rFonts w:ascii="Tahoma" w:hAnsi="Tahoma" w:cs="Tahoma"/>
          <w:bCs/>
          <w:noProof/>
          <w:color w:val="CC9900"/>
          <w:sz w:val="20"/>
          <w:szCs w:val="20"/>
        </w:rPr>
        <w:t xml:space="preserve">a třetím podání vyplněného tiskopisu s přílohami. Preferována je první varianta podávání pomocí elektronických přihlášek přes doménu </w:t>
      </w:r>
      <w:hyperlink r:id="rId6" w:history="1">
        <w:r w:rsidRPr="00EE11AE">
          <w:rPr>
            <w:rStyle w:val="Hypertextovodkaz"/>
            <w:rFonts w:ascii="Tahoma" w:hAnsi="Tahoma" w:cs="Tahoma"/>
            <w:bCs/>
            <w:noProof/>
            <w:sz w:val="20"/>
            <w:szCs w:val="20"/>
          </w:rPr>
          <w:t>www.dipsy.cz</w:t>
        </w:r>
      </w:hyperlink>
      <w:r w:rsidRPr="00EE11AE">
        <w:rPr>
          <w:rFonts w:ascii="Tahoma" w:hAnsi="Tahoma" w:cs="Tahoma"/>
          <w:bCs/>
          <w:noProof/>
          <w:color w:val="CC9900"/>
          <w:sz w:val="20"/>
          <w:szCs w:val="20"/>
        </w:rPr>
        <w:t xml:space="preserve">. Veškeré přijímací řízení pak bude probíhat přes tuto doménu,“ </w:t>
      </w:r>
      <w:r w:rsidRPr="00EE11AE">
        <w:rPr>
          <w:rFonts w:ascii="Tahoma" w:hAnsi="Tahoma" w:cs="Tahoma"/>
          <w:bCs/>
          <w:noProof/>
          <w:sz w:val="20"/>
          <w:szCs w:val="20"/>
        </w:rPr>
        <w:t xml:space="preserve">popsal </w:t>
      </w:r>
      <w:r w:rsidRPr="00EE11AE">
        <w:rPr>
          <w:rFonts w:ascii="Tahoma" w:hAnsi="Tahoma" w:cs="Tahoma"/>
          <w:bCs/>
          <w:sz w:val="20"/>
          <w:szCs w:val="20"/>
        </w:rPr>
        <w:t>Miloslav Janeček, ředitel Střední odborné školy Jarov (SOŠJ).</w:t>
      </w:r>
    </w:p>
    <w:p w14:paraId="0A890F2F" w14:textId="77777777" w:rsidR="002154D3" w:rsidRPr="00EE11AE" w:rsidRDefault="002154D3" w:rsidP="002154D3">
      <w:pPr>
        <w:jc w:val="both"/>
        <w:rPr>
          <w:rFonts w:ascii="Tahoma" w:hAnsi="Tahoma" w:cs="Tahoma"/>
          <w:noProof/>
          <w:sz w:val="20"/>
          <w:szCs w:val="20"/>
        </w:rPr>
      </w:pPr>
      <w:r w:rsidRPr="00EE11AE">
        <w:rPr>
          <w:rFonts w:ascii="Tahoma" w:hAnsi="Tahoma" w:cs="Tahoma"/>
          <w:bCs/>
          <w:noProof/>
          <w:sz w:val="20"/>
          <w:szCs w:val="20"/>
        </w:rPr>
        <w:t>Zásadní je, jakou školu uvede</w:t>
      </w:r>
      <w:r>
        <w:rPr>
          <w:rFonts w:ascii="Tahoma" w:hAnsi="Tahoma" w:cs="Tahoma"/>
          <w:bCs/>
          <w:noProof/>
          <w:sz w:val="20"/>
          <w:szCs w:val="20"/>
        </w:rPr>
        <w:t xml:space="preserve"> uchazeč</w:t>
      </w:r>
      <w:r w:rsidRPr="00EE11AE">
        <w:rPr>
          <w:rFonts w:ascii="Tahoma" w:hAnsi="Tahoma" w:cs="Tahoma"/>
          <w:bCs/>
          <w:noProof/>
          <w:sz w:val="20"/>
          <w:szCs w:val="20"/>
        </w:rPr>
        <w:t xml:space="preserve"> na první místo. Dostane-li se na všechny tři vypsané školy, nemůže si už vybrat, kde bude nakonec studovat, přijat bude na první školu v seznamu. </w:t>
      </w:r>
      <w:r w:rsidRPr="00EE11AE">
        <w:rPr>
          <w:rFonts w:ascii="Tahoma" w:hAnsi="Tahoma" w:cs="Tahoma"/>
          <w:noProof/>
          <w:color w:val="CC9900"/>
          <w:sz w:val="20"/>
          <w:szCs w:val="20"/>
        </w:rPr>
        <w:t>„Pořadí je důležité pro určení, na jakou školu nebo obor bude uchazeč přijat. Pokud bude ‚nad čarou' ve více oborech, automaticky bude přijat na školu, kterou uvedl na přihlášce nejvýše. Odpadá tak možnost odvolání, protože všechna míst</w:t>
      </w:r>
      <w:r>
        <w:rPr>
          <w:rFonts w:ascii="Tahoma" w:hAnsi="Tahoma" w:cs="Tahoma"/>
          <w:noProof/>
          <w:color w:val="CC9900"/>
          <w:sz w:val="20"/>
          <w:szCs w:val="20"/>
        </w:rPr>
        <w:t>a</w:t>
      </w:r>
      <w:r w:rsidRPr="00EE11AE">
        <w:rPr>
          <w:rFonts w:ascii="Tahoma" w:hAnsi="Tahoma" w:cs="Tahoma"/>
          <w:noProof/>
          <w:color w:val="CC9900"/>
          <w:sz w:val="20"/>
          <w:szCs w:val="20"/>
        </w:rPr>
        <w:t xml:space="preserve"> bud</w:t>
      </w:r>
      <w:r>
        <w:rPr>
          <w:rFonts w:ascii="Tahoma" w:hAnsi="Tahoma" w:cs="Tahoma"/>
          <w:noProof/>
          <w:color w:val="CC9900"/>
          <w:sz w:val="20"/>
          <w:szCs w:val="20"/>
        </w:rPr>
        <w:t>ou</w:t>
      </w:r>
      <w:r w:rsidRPr="00EE11AE">
        <w:rPr>
          <w:rFonts w:ascii="Tahoma" w:hAnsi="Tahoma" w:cs="Tahoma"/>
          <w:noProof/>
          <w:color w:val="CC9900"/>
          <w:sz w:val="20"/>
          <w:szCs w:val="20"/>
        </w:rPr>
        <w:t xml:space="preserve"> díky prioritizaci zaplněna systémem při rozřazování úspěšných uchazečů,“ </w:t>
      </w:r>
      <w:r w:rsidRPr="00EE11AE">
        <w:rPr>
          <w:rFonts w:ascii="Tahoma" w:hAnsi="Tahoma" w:cs="Tahoma"/>
          <w:noProof/>
          <w:sz w:val="20"/>
          <w:szCs w:val="20"/>
        </w:rPr>
        <w:t>vysvětlil Martin Vodička, ředitel Soukromé střední školy výpočetní techniky (SSŠVT).</w:t>
      </w:r>
    </w:p>
    <w:p w14:paraId="471826C3" w14:textId="5C7D4F9F" w:rsidR="002154D3" w:rsidRPr="00EE11AE" w:rsidRDefault="002154D3" w:rsidP="002154D3">
      <w:pPr>
        <w:jc w:val="both"/>
        <w:rPr>
          <w:rFonts w:ascii="Tahoma" w:hAnsi="Tahoma" w:cs="Tahoma"/>
          <w:bCs/>
          <w:sz w:val="20"/>
          <w:szCs w:val="20"/>
        </w:rPr>
      </w:pPr>
      <w:r w:rsidRPr="00EE11AE">
        <w:rPr>
          <w:rFonts w:ascii="Tahoma" w:hAnsi="Tahoma" w:cs="Tahoma"/>
          <w:bCs/>
          <w:sz w:val="20"/>
          <w:szCs w:val="20"/>
        </w:rPr>
        <w:t xml:space="preserve">Tisíce uchazečů se musejí připravit na zklamání. Řada z nich se na vysněnou střední školu nedostane. Jistotou už není ani výběr střední odborné školy. </w:t>
      </w:r>
      <w:r w:rsidRPr="00EE11AE">
        <w:rPr>
          <w:rFonts w:ascii="Tahoma" w:hAnsi="Tahoma" w:cs="Tahoma"/>
          <w:bCs/>
          <w:noProof/>
          <w:color w:val="CC9900"/>
          <w:sz w:val="20"/>
          <w:szCs w:val="20"/>
        </w:rPr>
        <w:t>„Celkem u nás každoročně studuje více ne</w:t>
      </w:r>
      <w:r w:rsidR="002428BB">
        <w:rPr>
          <w:rFonts w:ascii="Tahoma" w:hAnsi="Tahoma" w:cs="Tahoma"/>
          <w:bCs/>
          <w:noProof/>
          <w:color w:val="CC9900"/>
          <w:sz w:val="20"/>
          <w:szCs w:val="20"/>
        </w:rPr>
        <w:t xml:space="preserve">ž 1 500 </w:t>
      </w:r>
      <w:r w:rsidRPr="00EE11AE">
        <w:rPr>
          <w:rFonts w:ascii="Tahoma" w:hAnsi="Tahoma" w:cs="Tahoma"/>
          <w:bCs/>
          <w:noProof/>
          <w:color w:val="CC9900"/>
          <w:sz w:val="20"/>
          <w:szCs w:val="20"/>
        </w:rPr>
        <w:t>žáků a více se jich k nám opravdu nevejde. V loňském roce jsme museli přibližně 350 uchazečů o studium na naší škole odmítnout a zcela jistě nebudeme moci všechny zájemce o studium přijmout ani příští rok. Zatímco v minulosti byly učební obory určitou jistotou pro neúspěšné uchazeče na střední školy, teď je situace jiná a ani na odbornou školu se nedostane každý. Přijímací řízení probíhá ve stejném termínu pro maturitní i učební obory. Učební obory na některých školách, a my jsme mezi nimi, se zpravidla zaplní už v prvním kole, potom se stává, že uchazeč, který si podá přihlášku na dva maturitní obory a ani na jeden se nedostane, má následně problém s přijetím i  na učební obor. Doporučuji tedy rodičům a žákům, aby dobře zvažovali, zda není</w:t>
      </w:r>
      <w:r w:rsidR="002428BB">
        <w:rPr>
          <w:rFonts w:ascii="Tahoma" w:hAnsi="Tahoma" w:cs="Tahoma"/>
          <w:bCs/>
          <w:noProof/>
          <w:color w:val="CC9900"/>
          <w:sz w:val="20"/>
          <w:szCs w:val="20"/>
        </w:rPr>
        <w:t xml:space="preserve"> </w:t>
      </w:r>
      <w:r w:rsidR="002428BB" w:rsidRPr="002428BB">
        <w:rPr>
          <w:rFonts w:ascii="Tahoma" w:hAnsi="Tahoma" w:cs="Tahoma"/>
          <w:bCs/>
          <w:noProof/>
          <w:color w:val="CC9900"/>
          <w:sz w:val="20"/>
          <w:szCs w:val="20"/>
        </w:rPr>
        <w:t xml:space="preserve">u některých taktičtější </w:t>
      </w:r>
      <w:r w:rsidRPr="00EE11AE">
        <w:rPr>
          <w:rFonts w:ascii="Tahoma" w:hAnsi="Tahoma" w:cs="Tahoma"/>
          <w:bCs/>
          <w:noProof/>
          <w:color w:val="CC9900"/>
          <w:sz w:val="20"/>
          <w:szCs w:val="20"/>
        </w:rPr>
        <w:t xml:space="preserve">na prvním místě uvést učební obor,“ </w:t>
      </w:r>
      <w:r>
        <w:rPr>
          <w:rFonts w:ascii="Tahoma" w:hAnsi="Tahoma" w:cs="Tahoma"/>
          <w:bCs/>
          <w:noProof/>
          <w:sz w:val="20"/>
          <w:szCs w:val="20"/>
        </w:rPr>
        <w:t>poukázal</w:t>
      </w:r>
      <w:r w:rsidRPr="00EE11AE">
        <w:rPr>
          <w:rFonts w:ascii="Tahoma" w:hAnsi="Tahoma" w:cs="Tahoma"/>
          <w:bCs/>
          <w:noProof/>
          <w:sz w:val="20"/>
          <w:szCs w:val="20"/>
        </w:rPr>
        <w:t xml:space="preserve"> </w:t>
      </w:r>
      <w:r w:rsidRPr="00EE11AE">
        <w:rPr>
          <w:rFonts w:ascii="Tahoma" w:hAnsi="Tahoma" w:cs="Tahoma"/>
          <w:bCs/>
          <w:sz w:val="20"/>
          <w:szCs w:val="20"/>
        </w:rPr>
        <w:t>Miloslav Janeček.</w:t>
      </w:r>
    </w:p>
    <w:p w14:paraId="6B7C0655" w14:textId="50CBC8B3" w:rsidR="002428BB" w:rsidRPr="00EE11AE" w:rsidRDefault="002428BB" w:rsidP="002428BB">
      <w:pPr>
        <w:pBdr>
          <w:bottom w:val="single" w:sz="4" w:space="1" w:color="auto"/>
        </w:pBdr>
        <w:jc w:val="both"/>
        <w:rPr>
          <w:rFonts w:ascii="Tahoma" w:hAnsi="Tahoma" w:cs="Tahoma"/>
          <w:bCs/>
          <w:sz w:val="20"/>
          <w:szCs w:val="20"/>
        </w:rPr>
      </w:pPr>
      <w:r w:rsidRPr="00EE11AE">
        <w:rPr>
          <w:rFonts w:ascii="Tahoma" w:hAnsi="Tahoma" w:cs="Tahoma"/>
          <w:bCs/>
          <w:sz w:val="20"/>
          <w:szCs w:val="20"/>
        </w:rPr>
        <w:t xml:space="preserve">Popularita roste i u oborů zaměřených na informační technologie. Zárukou přijetí nejsou ani soukromé školy. </w:t>
      </w:r>
      <w:r w:rsidRPr="00EE11AE">
        <w:rPr>
          <w:rFonts w:ascii="Tahoma" w:hAnsi="Tahoma" w:cs="Tahoma"/>
          <w:bCs/>
          <w:noProof/>
          <w:color w:val="CC9900"/>
          <w:sz w:val="20"/>
          <w:szCs w:val="20"/>
        </w:rPr>
        <w:t>„Vliv silně</w:t>
      </w:r>
      <w:r w:rsidR="00B23409">
        <w:rPr>
          <w:rFonts w:ascii="Tahoma" w:hAnsi="Tahoma" w:cs="Tahoma"/>
          <w:bCs/>
          <w:noProof/>
          <w:color w:val="CC9900"/>
          <w:sz w:val="20"/>
          <w:szCs w:val="20"/>
        </w:rPr>
        <w:t>j</w:t>
      </w:r>
      <w:r w:rsidRPr="00EE11AE">
        <w:rPr>
          <w:rFonts w:ascii="Tahoma" w:hAnsi="Tahoma" w:cs="Tahoma"/>
          <w:bCs/>
          <w:noProof/>
          <w:color w:val="CC9900"/>
          <w:sz w:val="20"/>
          <w:szCs w:val="20"/>
        </w:rPr>
        <w:t xml:space="preserve">ších populačních ročníků se projevuje na větší konkurenci při přijímacích zkouškách. Jako výběrová škola vidíme, že v posledních třech letech se hlásí absolutní většina uchazečů, která má na základní škole jedničky, dvojky, zatímco dříve v demograficky slabších letech byly častěji zastoupeny i přihlášky s horším prospěchem. </w:t>
      </w:r>
      <w:r>
        <w:rPr>
          <w:rFonts w:ascii="Tahoma" w:hAnsi="Tahoma" w:cs="Tahoma"/>
          <w:bCs/>
          <w:noProof/>
          <w:color w:val="CC9900"/>
          <w:sz w:val="20"/>
          <w:szCs w:val="20"/>
        </w:rPr>
        <w:t>Každý rok</w:t>
      </w:r>
      <w:r w:rsidRPr="00EE11AE">
        <w:rPr>
          <w:rFonts w:ascii="Tahoma" w:hAnsi="Tahoma" w:cs="Tahoma"/>
          <w:bCs/>
          <w:noProof/>
          <w:color w:val="CC9900"/>
          <w:sz w:val="20"/>
          <w:szCs w:val="20"/>
        </w:rPr>
        <w:t xml:space="preserve"> otevíráme tři třídy čtyřletého maturitního studia</w:t>
      </w:r>
      <w:r>
        <w:rPr>
          <w:rFonts w:ascii="Tahoma" w:hAnsi="Tahoma" w:cs="Tahoma"/>
          <w:bCs/>
          <w:noProof/>
          <w:color w:val="CC9900"/>
          <w:sz w:val="20"/>
          <w:szCs w:val="20"/>
        </w:rPr>
        <w:t>. Přijímáme tedy maximálně 98 žáků, loni však bylo přihlášených zájemců až pětkrát tolik</w:t>
      </w:r>
      <w:r w:rsidRPr="00EE11AE">
        <w:rPr>
          <w:rFonts w:ascii="Tahoma" w:hAnsi="Tahoma" w:cs="Tahoma"/>
          <w:bCs/>
          <w:noProof/>
          <w:color w:val="CC9900"/>
          <w:sz w:val="20"/>
          <w:szCs w:val="20"/>
        </w:rPr>
        <w:t xml:space="preserve">. </w:t>
      </w:r>
      <w:r w:rsidRPr="00EE11AE">
        <w:rPr>
          <w:rFonts w:ascii="Tahoma" w:eastAsia="Tahoma" w:hAnsi="Tahoma" w:cs="Tahoma"/>
          <w:color w:val="CC9900"/>
          <w:sz w:val="20"/>
          <w:szCs w:val="20"/>
        </w:rPr>
        <w:t>Na webových stránkách nabízíme kromě informací k přijímacím zkouškám i kalkulačku, která uchazečům o studium řekne, kolik mohou dosáhnout bodů v přijímacím řízení. Na tomto základě a z výsledků loňských přijímacích zkoušek se dá velmi přibližně odhadnout šance uchazeče na přijetí</w:t>
      </w:r>
      <w:r w:rsidRPr="00EE11AE">
        <w:rPr>
          <w:rFonts w:ascii="Tahoma" w:hAnsi="Tahoma" w:cs="Tahoma"/>
          <w:bCs/>
          <w:noProof/>
          <w:color w:val="CC9900"/>
          <w:sz w:val="20"/>
          <w:szCs w:val="20"/>
        </w:rPr>
        <w:t xml:space="preserve">,“ </w:t>
      </w:r>
      <w:r w:rsidRPr="00EE11AE">
        <w:rPr>
          <w:rFonts w:ascii="Tahoma" w:hAnsi="Tahoma" w:cs="Tahoma"/>
          <w:bCs/>
          <w:noProof/>
          <w:sz w:val="20"/>
          <w:szCs w:val="20"/>
        </w:rPr>
        <w:t xml:space="preserve">poradil </w:t>
      </w:r>
      <w:r w:rsidRPr="00EE11AE">
        <w:rPr>
          <w:rFonts w:ascii="Tahoma" w:hAnsi="Tahoma" w:cs="Tahoma"/>
          <w:bCs/>
          <w:sz w:val="20"/>
          <w:szCs w:val="20"/>
        </w:rPr>
        <w:t>Martin Vodička.</w:t>
      </w:r>
    </w:p>
    <w:p w14:paraId="50FE4067" w14:textId="77777777" w:rsidR="002428BB" w:rsidRDefault="002428BB" w:rsidP="002154D3">
      <w:pPr>
        <w:jc w:val="both"/>
        <w:rPr>
          <w:rFonts w:ascii="Tahoma" w:hAnsi="Tahoma" w:cs="Tahoma"/>
          <w:b/>
          <w:sz w:val="18"/>
          <w:szCs w:val="18"/>
        </w:rPr>
      </w:pPr>
    </w:p>
    <w:p w14:paraId="35FFFD54" w14:textId="7FEA0CE9" w:rsidR="002154D3" w:rsidRPr="00EE11AE" w:rsidRDefault="002154D3" w:rsidP="002154D3">
      <w:pPr>
        <w:jc w:val="both"/>
        <w:rPr>
          <w:rFonts w:ascii="Tahoma" w:hAnsi="Tahoma" w:cs="Tahoma"/>
          <w:b/>
          <w:sz w:val="20"/>
          <w:szCs w:val="20"/>
        </w:rPr>
      </w:pPr>
      <w:r w:rsidRPr="00EE11AE">
        <w:rPr>
          <w:rFonts w:ascii="Tahoma" w:hAnsi="Tahoma" w:cs="Tahoma"/>
          <w:b/>
          <w:sz w:val="18"/>
          <w:szCs w:val="18"/>
        </w:rPr>
        <w:lastRenderedPageBreak/>
        <w:t>KONTAKT PRO MÉDIA:</w:t>
      </w:r>
    </w:p>
    <w:p w14:paraId="38A63E28" w14:textId="77777777" w:rsidR="002154D3" w:rsidRPr="00EE11AE" w:rsidRDefault="002154D3" w:rsidP="002154D3">
      <w:pPr>
        <w:spacing w:line="240" w:lineRule="auto"/>
        <w:jc w:val="both"/>
        <w:rPr>
          <w:rFonts w:ascii="Tahoma" w:hAnsi="Tahoma" w:cs="Tahoma"/>
          <w:b/>
          <w:bCs/>
          <w:noProof/>
          <w:color w:val="CC9900"/>
          <w:sz w:val="20"/>
          <w:szCs w:val="20"/>
        </w:rPr>
      </w:pPr>
      <w:r w:rsidRPr="00EE11AE">
        <w:rPr>
          <w:rFonts w:ascii="Tahoma" w:hAnsi="Tahoma" w:cs="Tahoma"/>
          <w:b/>
          <w:bCs/>
          <w:noProof/>
          <w:color w:val="333333"/>
          <w:sz w:val="20"/>
          <w:szCs w:val="20"/>
        </w:rPr>
        <w:t>Mgr. Petra Ďurčíková</w:t>
      </w:r>
      <w:r w:rsidRPr="00EE11AE">
        <w:rPr>
          <w:rFonts w:ascii="Tahoma" w:hAnsi="Tahoma" w:cs="Tahoma"/>
          <w:b/>
          <w:bCs/>
          <w:noProof/>
          <w:color w:val="CC9900"/>
          <w:sz w:val="20"/>
          <w:szCs w:val="20"/>
        </w:rPr>
        <w:t>_mediální konzultant</w:t>
      </w:r>
    </w:p>
    <w:p w14:paraId="5CAB58AD" w14:textId="77777777" w:rsidR="002154D3" w:rsidRPr="00EE11AE" w:rsidRDefault="002154D3" w:rsidP="002154D3">
      <w:pPr>
        <w:spacing w:line="240" w:lineRule="auto"/>
        <w:rPr>
          <w:rFonts w:ascii="Tahoma" w:hAnsi="Tahoma" w:cs="Tahoma"/>
          <w:b/>
          <w:bCs/>
          <w:sz w:val="20"/>
          <w:szCs w:val="20"/>
        </w:rPr>
      </w:pPr>
      <w:r w:rsidRPr="00EE11AE">
        <w:rPr>
          <w:rFonts w:ascii="Tahoma" w:hAnsi="Tahoma" w:cs="Tahoma"/>
          <w:b/>
          <w:noProof/>
          <w:sz w:val="20"/>
          <w:szCs w:val="20"/>
          <w:lang w:val="de-LI" w:eastAsia="de-LI"/>
        </w:rPr>
        <w:drawing>
          <wp:inline distT="0" distB="0" distL="0" distR="0" wp14:anchorId="1A978483" wp14:editId="41C3464B">
            <wp:extent cx="828675" cy="133350"/>
            <wp:effectExtent l="0" t="0" r="0" b="0"/>
            <wp:docPr id="1" name="Obrázek 1" descr="pear_media logo_fin rgb_bez okraj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pear_media logo_fin rgb_bez okraju.jp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33350"/>
                    </a:xfrm>
                    <a:prstGeom prst="rect">
                      <a:avLst/>
                    </a:prstGeom>
                    <a:noFill/>
                    <a:ln>
                      <a:noFill/>
                    </a:ln>
                  </pic:spPr>
                </pic:pic>
              </a:graphicData>
            </a:graphic>
          </wp:inline>
        </w:drawing>
      </w:r>
    </w:p>
    <w:p w14:paraId="3475BE03" w14:textId="77777777" w:rsidR="002154D3" w:rsidRPr="00EE11AE" w:rsidRDefault="002154D3" w:rsidP="002154D3">
      <w:pPr>
        <w:spacing w:line="240" w:lineRule="auto"/>
        <w:rPr>
          <w:rFonts w:ascii="Tahoma" w:hAnsi="Tahoma" w:cs="Tahoma"/>
          <w:sz w:val="20"/>
          <w:szCs w:val="20"/>
        </w:rPr>
      </w:pPr>
      <w:r w:rsidRPr="00EE11AE">
        <w:rPr>
          <w:rFonts w:ascii="Tahoma" w:hAnsi="Tahoma" w:cs="Tahoma"/>
          <w:b/>
          <w:bCs/>
          <w:sz w:val="20"/>
          <w:szCs w:val="20"/>
        </w:rPr>
        <w:t xml:space="preserve">+420 733 643 825, </w:t>
      </w:r>
      <w:hyperlink r:id="rId8" w:history="1">
        <w:r w:rsidRPr="00EE11AE">
          <w:rPr>
            <w:rStyle w:val="Hypertextovodkaz"/>
            <w:rFonts w:ascii="Tahoma" w:hAnsi="Tahoma" w:cs="Tahoma"/>
            <w:b/>
            <w:bCs/>
            <w:sz w:val="20"/>
            <w:szCs w:val="20"/>
          </w:rPr>
          <w:t>petra@pearmedia.cz</w:t>
        </w:r>
      </w:hyperlink>
    </w:p>
    <w:p w14:paraId="240758C6" w14:textId="77777777" w:rsidR="002154D3" w:rsidRPr="00EE11AE" w:rsidRDefault="002154D3" w:rsidP="002154D3">
      <w:pPr>
        <w:pBdr>
          <w:bottom w:val="single" w:sz="4" w:space="1" w:color="auto"/>
        </w:pBdr>
        <w:spacing w:line="240" w:lineRule="auto"/>
        <w:rPr>
          <w:rFonts w:ascii="Tahoma" w:hAnsi="Tahoma" w:cs="Tahoma"/>
          <w:b/>
          <w:sz w:val="20"/>
          <w:szCs w:val="20"/>
        </w:rPr>
      </w:pPr>
      <w:hyperlink r:id="rId9" w:history="1">
        <w:r w:rsidRPr="00EE11AE">
          <w:rPr>
            <w:rStyle w:val="Hypertextovodkaz"/>
            <w:rFonts w:ascii="Tahoma" w:hAnsi="Tahoma" w:cs="Tahoma"/>
            <w:b/>
            <w:sz w:val="20"/>
            <w:szCs w:val="20"/>
          </w:rPr>
          <w:t>pearmedia.cz</w:t>
        </w:r>
      </w:hyperlink>
    </w:p>
    <w:p w14:paraId="48E57C0C" w14:textId="77777777" w:rsidR="002154D3" w:rsidRPr="00EE11AE" w:rsidRDefault="002154D3" w:rsidP="002154D3">
      <w:pPr>
        <w:jc w:val="both"/>
        <w:rPr>
          <w:rFonts w:ascii="Tahoma" w:hAnsi="Tahoma" w:cs="Tahoma"/>
          <w:b/>
          <w:sz w:val="20"/>
          <w:szCs w:val="20"/>
        </w:rPr>
      </w:pPr>
      <w:r w:rsidRPr="00EE11AE">
        <w:rPr>
          <w:rFonts w:ascii="Tahoma" w:hAnsi="Tahoma" w:cs="Tahoma"/>
          <w:b/>
          <w:sz w:val="20"/>
          <w:szCs w:val="20"/>
        </w:rPr>
        <w:t xml:space="preserve">STŘEDNÍ ODBORNÁ ŠKOLA JAROV, </w:t>
      </w:r>
      <w:hyperlink r:id="rId10" w:history="1">
        <w:r w:rsidRPr="00EE11AE">
          <w:rPr>
            <w:rStyle w:val="Hypertextovodkaz"/>
            <w:rFonts w:ascii="Tahoma" w:hAnsi="Tahoma" w:cs="Tahoma"/>
            <w:b/>
            <w:sz w:val="20"/>
            <w:szCs w:val="20"/>
          </w:rPr>
          <w:t>www.skolajarov.cz</w:t>
        </w:r>
      </w:hyperlink>
    </w:p>
    <w:p w14:paraId="26D4A337" w14:textId="44F98FB3" w:rsidR="002154D3" w:rsidRPr="002428BB" w:rsidRDefault="002154D3" w:rsidP="002154D3">
      <w:pPr>
        <w:jc w:val="both"/>
        <w:rPr>
          <w:rFonts w:ascii="Tahoma" w:hAnsi="Tahoma" w:cs="Tahoma"/>
          <w:sz w:val="18"/>
          <w:szCs w:val="18"/>
        </w:rPr>
      </w:pPr>
      <w:r w:rsidRPr="002428BB">
        <w:rPr>
          <w:rFonts w:ascii="Tahoma" w:hAnsi="Tahoma" w:cs="Tahoma"/>
          <w:sz w:val="18"/>
          <w:szCs w:val="18"/>
        </w:rPr>
        <w:t>Střední odborná škola Jarov spojuje hned několik různorodých zaměření – stavební, dřevařské, zahradnické a sportovní. Nabízí vzdělávání ve čtyřletých studijních a tříletých učebních oborech. Studijní obory jsou zakončeny maturitou, učební obory výučním listem. Na tříleté učební obory se dá navázat v rámci dvouletého denního nástavbového studia zakončeného maturitou. Škola zároveň zajišťuje výuku v oborech určených absolventům speciálních základních škol nebo žákům se specifickými vzdělávacími potřebami.</w:t>
      </w:r>
    </w:p>
    <w:p w14:paraId="46863A10" w14:textId="507EF87C" w:rsidR="002154D3" w:rsidRPr="002428BB" w:rsidRDefault="002154D3" w:rsidP="002154D3">
      <w:pPr>
        <w:jc w:val="both"/>
        <w:rPr>
          <w:rFonts w:ascii="Tahoma" w:hAnsi="Tahoma" w:cs="Tahoma"/>
          <w:sz w:val="18"/>
          <w:szCs w:val="18"/>
        </w:rPr>
      </w:pPr>
      <w:r w:rsidRPr="002428BB">
        <w:rPr>
          <w:rFonts w:ascii="Tahoma" w:hAnsi="Tahoma" w:cs="Tahoma"/>
          <w:sz w:val="18"/>
          <w:szCs w:val="18"/>
        </w:rPr>
        <w:t>Učební obory: instalatér, kamnář, klempíř, kominík, malíř, pokrývač, podlahář, sklenář,</w:t>
      </w:r>
      <w:r w:rsidR="00AC0A7F" w:rsidRPr="002428BB">
        <w:rPr>
          <w:rFonts w:ascii="Tahoma" w:hAnsi="Tahoma" w:cs="Tahoma"/>
          <w:sz w:val="18"/>
          <w:szCs w:val="18"/>
        </w:rPr>
        <w:t xml:space="preserve"> prodavač</w:t>
      </w:r>
      <w:r w:rsidRPr="002428BB">
        <w:rPr>
          <w:rFonts w:ascii="Tahoma" w:hAnsi="Tahoma" w:cs="Tahoma"/>
          <w:sz w:val="18"/>
          <w:szCs w:val="18"/>
        </w:rPr>
        <w:t>, tesař, truhlář, zahradník,</w:t>
      </w:r>
      <w:r w:rsidR="00AC0A7F" w:rsidRPr="002428BB">
        <w:rPr>
          <w:rFonts w:ascii="Tahoma" w:hAnsi="Tahoma" w:cs="Tahoma"/>
          <w:sz w:val="18"/>
          <w:szCs w:val="18"/>
        </w:rPr>
        <w:t xml:space="preserve"> strojní mechanik</w:t>
      </w:r>
      <w:r w:rsidRPr="002428BB">
        <w:rPr>
          <w:rFonts w:ascii="Tahoma" w:hAnsi="Tahoma" w:cs="Tahoma"/>
          <w:sz w:val="18"/>
          <w:szCs w:val="18"/>
        </w:rPr>
        <w:t>, zedník. Maturitní obory: dřevostavby, management ve sportu, stavební obnova, technická zařízení budov</w:t>
      </w:r>
      <w:r w:rsidR="00AC0A7F" w:rsidRPr="002428BB">
        <w:rPr>
          <w:rFonts w:ascii="Tahoma" w:hAnsi="Tahoma" w:cs="Tahoma"/>
          <w:sz w:val="18"/>
          <w:szCs w:val="18"/>
        </w:rPr>
        <w:t>, zahradnictví</w:t>
      </w:r>
      <w:r w:rsidRPr="002428BB">
        <w:rPr>
          <w:rFonts w:ascii="Tahoma" w:hAnsi="Tahoma" w:cs="Tahoma"/>
          <w:sz w:val="18"/>
          <w:szCs w:val="18"/>
        </w:rPr>
        <w:t>.</w:t>
      </w:r>
    </w:p>
    <w:p w14:paraId="266E63C9" w14:textId="77777777" w:rsidR="002154D3" w:rsidRPr="00EE11AE" w:rsidRDefault="002154D3" w:rsidP="002154D3">
      <w:pPr>
        <w:jc w:val="both"/>
        <w:rPr>
          <w:rFonts w:ascii="Tahoma" w:hAnsi="Tahoma" w:cs="Tahoma"/>
          <w:b/>
          <w:sz w:val="20"/>
          <w:szCs w:val="20"/>
        </w:rPr>
      </w:pPr>
      <w:r w:rsidRPr="00EE11AE">
        <w:rPr>
          <w:rFonts w:ascii="Tahoma" w:hAnsi="Tahoma" w:cs="Tahoma"/>
          <w:b/>
          <w:sz w:val="20"/>
          <w:szCs w:val="20"/>
        </w:rPr>
        <w:t xml:space="preserve">SOUKROMÁ STŘEDNÍ ŠKOLA VÝPOČETNÍ TECHNIKY, </w:t>
      </w:r>
      <w:hyperlink r:id="rId11" w:history="1">
        <w:r w:rsidRPr="00EE11AE">
          <w:rPr>
            <w:rStyle w:val="Hypertextovodkaz"/>
            <w:rFonts w:ascii="Tahoma" w:hAnsi="Tahoma" w:cs="Tahoma"/>
            <w:b/>
            <w:sz w:val="20"/>
            <w:szCs w:val="20"/>
          </w:rPr>
          <w:t>www.sssvt.cz</w:t>
        </w:r>
      </w:hyperlink>
    </w:p>
    <w:p w14:paraId="73F6E60A" w14:textId="77777777" w:rsidR="002154D3" w:rsidRPr="00EE11AE" w:rsidRDefault="002154D3" w:rsidP="002154D3">
      <w:pPr>
        <w:jc w:val="both"/>
        <w:rPr>
          <w:rFonts w:ascii="Tahoma" w:hAnsi="Tahoma" w:cs="Tahoma"/>
          <w:sz w:val="18"/>
          <w:szCs w:val="18"/>
        </w:rPr>
      </w:pPr>
      <w:r w:rsidRPr="00EE11AE">
        <w:rPr>
          <w:rFonts w:ascii="Tahoma" w:hAnsi="Tahoma" w:cs="Tahoma"/>
          <w:sz w:val="18"/>
          <w:szCs w:val="18"/>
        </w:rPr>
        <w:t xml:space="preserve">Soukromá střední škola výpočetní techniky (SSŠVT) se od svého založení v roce 1994 věnuje tvorbě a výuce maturitních oborů z odvětví informačních technologií. V současné době škola nabízí tři studijní specializace: grafické systémy a tvorbu webových stránek, správu počítačových sítí, programování a databázové systémy. Důraz na praktickou výuku podtrhuje moderním vybavením a zapojením studentů i vyučujících – fundovaných profesionálů – do vedlejší hospodářské činnosti školy (od roku 2003). Každý rok pořádá soutěž pro žáky základních škol IT-SLOT. SSŠVT je členem Sdružení soukromých škol ČMS. </w:t>
      </w:r>
    </w:p>
    <w:p w14:paraId="61E40D89" w14:textId="77777777" w:rsidR="002154D3" w:rsidRPr="00EE11AE" w:rsidRDefault="002154D3" w:rsidP="002154D3">
      <w:pPr>
        <w:rPr>
          <w:rFonts w:ascii="Tahoma" w:hAnsi="Tahoma" w:cs="Tahoma"/>
        </w:rPr>
      </w:pPr>
    </w:p>
    <w:p w14:paraId="04E81D03" w14:textId="77777777" w:rsidR="002154D3" w:rsidRPr="00EE11AE" w:rsidRDefault="002154D3" w:rsidP="002154D3">
      <w:pPr>
        <w:rPr>
          <w:rFonts w:ascii="Tahoma" w:hAnsi="Tahoma" w:cs="Tahoma"/>
        </w:rPr>
      </w:pPr>
    </w:p>
    <w:p w14:paraId="57ADA034" w14:textId="77777777" w:rsidR="002154D3" w:rsidRPr="00EE11AE" w:rsidRDefault="002154D3" w:rsidP="002154D3">
      <w:pPr>
        <w:rPr>
          <w:rFonts w:ascii="Tahoma" w:hAnsi="Tahoma" w:cs="Tahoma"/>
        </w:rPr>
      </w:pPr>
    </w:p>
    <w:p w14:paraId="3AE7D9DC" w14:textId="77777777" w:rsidR="002154D3" w:rsidRPr="00EE11AE" w:rsidRDefault="002154D3" w:rsidP="002154D3">
      <w:pPr>
        <w:rPr>
          <w:rFonts w:ascii="Tahoma" w:hAnsi="Tahoma" w:cs="Tahoma"/>
        </w:rPr>
      </w:pPr>
    </w:p>
    <w:p w14:paraId="6B9DA722" w14:textId="77777777" w:rsidR="002154D3" w:rsidRPr="00EE11AE" w:rsidRDefault="002154D3" w:rsidP="002154D3">
      <w:pPr>
        <w:rPr>
          <w:rFonts w:ascii="Tahoma" w:hAnsi="Tahoma" w:cs="Tahoma"/>
        </w:rPr>
      </w:pPr>
    </w:p>
    <w:p w14:paraId="1A21B7DE" w14:textId="77777777" w:rsidR="002154D3" w:rsidRPr="00EE11AE" w:rsidRDefault="002154D3" w:rsidP="002154D3">
      <w:pPr>
        <w:rPr>
          <w:rFonts w:ascii="Tahoma" w:hAnsi="Tahoma" w:cs="Tahoma"/>
        </w:rPr>
      </w:pPr>
    </w:p>
    <w:p w14:paraId="18AC1F20" w14:textId="77777777" w:rsidR="00612DEA" w:rsidRPr="00EE11AE" w:rsidRDefault="00612DEA">
      <w:pPr>
        <w:rPr>
          <w:rFonts w:ascii="Tahoma" w:hAnsi="Tahoma" w:cs="Tahoma"/>
        </w:rPr>
      </w:pPr>
    </w:p>
    <w:sectPr w:rsidR="00612DEA" w:rsidRPr="00EE11AE" w:rsidSect="00925CF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89FFC" w14:textId="77777777" w:rsidR="00090DB3" w:rsidRDefault="00090DB3">
      <w:pPr>
        <w:spacing w:after="0" w:line="240" w:lineRule="auto"/>
      </w:pPr>
      <w:r>
        <w:separator/>
      </w:r>
    </w:p>
  </w:endnote>
  <w:endnote w:type="continuationSeparator" w:id="0">
    <w:p w14:paraId="72210A47" w14:textId="77777777" w:rsidR="00090DB3" w:rsidRDefault="00090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D5505" w14:textId="77777777" w:rsidR="00B925AD" w:rsidRDefault="00000000">
    <w:pPr>
      <w:pStyle w:val="Zpat"/>
      <w:rPr>
        <w:noProof/>
      </w:rPr>
    </w:pPr>
    <w:r>
      <w:rPr>
        <w:noProof/>
        <w:lang w:val="de-LI" w:eastAsia="de-LI"/>
      </w:rPr>
      <w:drawing>
        <wp:anchor distT="0" distB="0" distL="0" distR="0" simplePos="0" relativeHeight="251661312" behindDoc="1" locked="0" layoutInCell="1" allowOverlap="1" wp14:anchorId="51F50093" wp14:editId="3F23DDCC">
          <wp:simplePos x="0" y="0"/>
          <wp:positionH relativeFrom="page">
            <wp:posOffset>790575</wp:posOffset>
          </wp:positionH>
          <wp:positionV relativeFrom="page">
            <wp:posOffset>10010775</wp:posOffset>
          </wp:positionV>
          <wp:extent cx="5760720" cy="290830"/>
          <wp:effectExtent l="0" t="0" r="0" b="0"/>
          <wp:wrapNone/>
          <wp:docPr id="4"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rrowheads="1"/>
                  </pic:cNvPicPr>
                </pic:nvPicPr>
                <pic:blipFill>
                  <a:blip r:embed="rId1">
                    <a:extLst>
                      <a:ext uri="{28A0092B-C50C-407E-A947-70E740481C1C}">
                        <a14:useLocalDpi xmlns:a14="http://schemas.microsoft.com/office/drawing/2010/main" val="0"/>
                      </a:ext>
                    </a:extLst>
                  </a:blip>
                  <a:srcRect t="60396"/>
                  <a:stretch>
                    <a:fillRect/>
                  </a:stretch>
                </pic:blipFill>
                <pic:spPr bwMode="auto">
                  <a:xfrm>
                    <a:off x="0" y="0"/>
                    <a:ext cx="5760720"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41390D7" w14:textId="77777777" w:rsidR="00B925AD" w:rsidRDefault="00000000" w:rsidP="001916A6">
    <w:pPr>
      <w:pStyle w:val="Zpat"/>
      <w:tabs>
        <w:tab w:val="clear" w:pos="4536"/>
        <w:tab w:val="clear" w:pos="9072"/>
        <w:tab w:val="left" w:pos="3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7534E" w14:textId="77777777" w:rsidR="00090DB3" w:rsidRDefault="00090DB3">
      <w:pPr>
        <w:spacing w:after="0" w:line="240" w:lineRule="auto"/>
      </w:pPr>
      <w:r>
        <w:separator/>
      </w:r>
    </w:p>
  </w:footnote>
  <w:footnote w:type="continuationSeparator" w:id="0">
    <w:p w14:paraId="163FEEAB" w14:textId="77777777" w:rsidR="00090DB3" w:rsidRDefault="00090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175B8" w14:textId="77777777" w:rsidR="00B925AD" w:rsidRDefault="00000000" w:rsidP="00C00B7B">
    <w:pPr>
      <w:pStyle w:val="Zhlav"/>
      <w:rPr>
        <w:b/>
        <w:sz w:val="36"/>
        <w:szCs w:val="36"/>
      </w:rPr>
    </w:pPr>
    <w:r>
      <w:rPr>
        <w:noProof/>
        <w:lang w:val="de-LI" w:eastAsia="de-LI"/>
      </w:rPr>
      <w:drawing>
        <wp:anchor distT="0" distB="0" distL="114300" distR="114300" simplePos="0" relativeHeight="251660288" behindDoc="0" locked="0" layoutInCell="1" allowOverlap="1" wp14:anchorId="3770526B" wp14:editId="6B169CF9">
          <wp:simplePos x="0" y="0"/>
          <wp:positionH relativeFrom="column">
            <wp:posOffset>-20320</wp:posOffset>
          </wp:positionH>
          <wp:positionV relativeFrom="paragraph">
            <wp:posOffset>-145415</wp:posOffset>
          </wp:positionV>
          <wp:extent cx="809625" cy="809625"/>
          <wp:effectExtent l="0" t="0" r="0" b="0"/>
          <wp:wrapSquare wrapText="bothSides"/>
          <wp:docPr id="5" name="Obrázek 3" descr="C:\Users\Eli\AppData\Local\Microsoft\Windows\Temporary Internet Files\Content.Word\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descr="C:\Users\Eli\AppData\Local\Microsoft\Windows\Temporary Internet Files\Content.Word\LOGO.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LI" w:eastAsia="de-LI"/>
      </w:rPr>
      <w:drawing>
        <wp:anchor distT="0" distB="0" distL="114300" distR="114300" simplePos="0" relativeHeight="251659264" behindDoc="0" locked="0" layoutInCell="1" allowOverlap="1" wp14:anchorId="5D90EEF2" wp14:editId="1C2BA8BC">
          <wp:simplePos x="0" y="0"/>
          <wp:positionH relativeFrom="column">
            <wp:posOffset>1094105</wp:posOffset>
          </wp:positionH>
          <wp:positionV relativeFrom="paragraph">
            <wp:posOffset>7620</wp:posOffset>
          </wp:positionV>
          <wp:extent cx="1885950" cy="622935"/>
          <wp:effectExtent l="0" t="0" r="0" b="0"/>
          <wp:wrapSquare wrapText="bothSides"/>
          <wp:docPr id="6" name="Obrázek 4" descr="C:\Users\Eli\Documents\FIRMA, pear_media\KLIENTI\SSŠVT\foto + logo\logo_sssvt_barv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C:\Users\Eli\Documents\FIRMA, pear_media\KLIENTI\SSŠVT\foto + logo\logo_sssvt_barva.png"/>
                  <pic:cNvPicPr>
                    <a:picLocks noChangeArrowheads="1"/>
                  </pic:cNvPicPr>
                </pic:nvPicPr>
                <pic:blipFill>
                  <a:blip r:embed="rId2">
                    <a:extLst>
                      <a:ext uri="{28A0092B-C50C-407E-A947-70E740481C1C}">
                        <a14:useLocalDpi xmlns:a14="http://schemas.microsoft.com/office/drawing/2010/main" val="0"/>
                      </a:ext>
                    </a:extLst>
                  </a:blip>
                  <a:srcRect l="9647" t="27129" r="10931" b="29256"/>
                  <a:stretch>
                    <a:fillRect/>
                  </a:stretch>
                </pic:blipFill>
                <pic:spPr bwMode="auto">
                  <a:xfrm>
                    <a:off x="0" y="0"/>
                    <a:ext cx="188595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0DEB4A" w14:textId="77777777" w:rsidR="00B925AD" w:rsidRDefault="00000000" w:rsidP="00C00B7B">
    <w:pPr>
      <w:pStyle w:val="Zhlav"/>
      <w:rPr>
        <w:b/>
        <w:sz w:val="2"/>
        <w:szCs w:val="2"/>
      </w:rPr>
    </w:pPr>
    <w:r>
      <w:rPr>
        <w:b/>
        <w:sz w:val="36"/>
        <w:szCs w:val="36"/>
      </w:rPr>
      <w:tab/>
    </w:r>
    <w:r w:rsidRPr="00BF7521">
      <w:rPr>
        <w:b/>
        <w:sz w:val="36"/>
        <w:szCs w:val="36"/>
      </w:rPr>
      <w:t>TISKOVÁ ZPRÁVA</w:t>
    </w:r>
  </w:p>
  <w:p w14:paraId="18082863" w14:textId="77777777" w:rsidR="00B925AD" w:rsidRDefault="00B925AD">
    <w:pPr>
      <w:pStyle w:val="Zhlav"/>
      <w:ind w:firstLine="1416"/>
      <w:jc w:val="right"/>
      <w:rPr>
        <w:b/>
        <w:sz w:val="2"/>
        <w:szCs w:val="2"/>
      </w:rPr>
    </w:pPr>
  </w:p>
  <w:p w14:paraId="0C0221C7" w14:textId="77777777" w:rsidR="00B925AD" w:rsidRDefault="00B925AD">
    <w:pPr>
      <w:pStyle w:val="Zhlav"/>
      <w:ind w:firstLine="1416"/>
      <w:jc w:val="right"/>
      <w:rPr>
        <w:b/>
        <w:sz w:val="2"/>
        <w:szCs w:val="2"/>
      </w:rPr>
    </w:pPr>
  </w:p>
  <w:p w14:paraId="48D69188" w14:textId="77777777" w:rsidR="00B925AD" w:rsidRDefault="00B925AD">
    <w:pPr>
      <w:pStyle w:val="Zhlav"/>
      <w:ind w:firstLine="1416"/>
      <w:jc w:val="right"/>
      <w:rPr>
        <w:b/>
        <w:sz w:val="2"/>
        <w:szCs w:val="2"/>
      </w:rPr>
    </w:pPr>
  </w:p>
  <w:p w14:paraId="6A99D7C2" w14:textId="77777777" w:rsidR="00B925AD" w:rsidRDefault="00B925AD">
    <w:pPr>
      <w:pStyle w:val="Zhlav"/>
      <w:ind w:firstLine="1416"/>
      <w:jc w:val="right"/>
      <w:rPr>
        <w:b/>
        <w:sz w:val="2"/>
        <w:szCs w:val="2"/>
      </w:rPr>
    </w:pPr>
  </w:p>
  <w:p w14:paraId="2AF72703" w14:textId="77777777" w:rsidR="00B925AD" w:rsidRDefault="00B925AD">
    <w:pPr>
      <w:pStyle w:val="Zhlav"/>
      <w:ind w:firstLine="1416"/>
      <w:jc w:val="right"/>
      <w:rPr>
        <w:b/>
        <w:sz w:val="2"/>
        <w:szCs w:val="2"/>
      </w:rPr>
    </w:pPr>
  </w:p>
  <w:p w14:paraId="66A06964" w14:textId="77777777" w:rsidR="00B925AD" w:rsidRDefault="00B925AD">
    <w:pPr>
      <w:pStyle w:val="Zhlav"/>
      <w:ind w:firstLine="1416"/>
      <w:jc w:val="right"/>
      <w:rPr>
        <w:b/>
        <w:sz w:val="2"/>
        <w:szCs w:val="2"/>
      </w:rPr>
    </w:pPr>
  </w:p>
  <w:p w14:paraId="32F81039" w14:textId="77777777" w:rsidR="00B925AD" w:rsidRDefault="00B925AD">
    <w:pPr>
      <w:pStyle w:val="Zhlav"/>
      <w:ind w:firstLine="1416"/>
      <w:jc w:val="right"/>
      <w:rPr>
        <w:b/>
        <w:sz w:val="2"/>
        <w:szCs w:val="2"/>
      </w:rPr>
    </w:pPr>
  </w:p>
  <w:p w14:paraId="71932DF3" w14:textId="77777777" w:rsidR="00B925AD" w:rsidRDefault="00B925AD">
    <w:pPr>
      <w:pStyle w:val="Zhlav"/>
      <w:ind w:firstLine="1416"/>
      <w:jc w:val="right"/>
      <w:rPr>
        <w:b/>
        <w:sz w:val="2"/>
        <w:szCs w:val="2"/>
      </w:rPr>
    </w:pPr>
  </w:p>
  <w:p w14:paraId="3656BBEA" w14:textId="77777777" w:rsidR="00B925AD" w:rsidRDefault="00B925AD">
    <w:pPr>
      <w:pStyle w:val="Zhlav"/>
      <w:ind w:firstLine="1416"/>
      <w:jc w:val="right"/>
      <w:rPr>
        <w:b/>
        <w:sz w:val="2"/>
        <w:szCs w:val="2"/>
      </w:rPr>
    </w:pPr>
  </w:p>
  <w:p w14:paraId="3873C491" w14:textId="77777777" w:rsidR="00B925AD" w:rsidRDefault="00B925AD">
    <w:pPr>
      <w:pStyle w:val="Zhlav"/>
      <w:ind w:firstLine="1416"/>
      <w:jc w:val="right"/>
      <w:rPr>
        <w:b/>
        <w:sz w:val="2"/>
        <w:szCs w:val="2"/>
      </w:rPr>
    </w:pPr>
  </w:p>
  <w:p w14:paraId="4C48D03B" w14:textId="77777777" w:rsidR="00B925AD" w:rsidRDefault="00B925AD">
    <w:pPr>
      <w:pStyle w:val="Zhlav"/>
      <w:ind w:firstLine="1416"/>
      <w:jc w:val="right"/>
      <w:rPr>
        <w:b/>
        <w:sz w:val="2"/>
        <w:szCs w:val="2"/>
      </w:rPr>
    </w:pPr>
  </w:p>
  <w:p w14:paraId="2069544F" w14:textId="77777777" w:rsidR="00B925AD" w:rsidRDefault="00B925AD">
    <w:pPr>
      <w:pStyle w:val="Zhlav"/>
      <w:ind w:firstLine="1416"/>
      <w:jc w:val="right"/>
      <w:rPr>
        <w:b/>
        <w:sz w:val="2"/>
        <w:szCs w:val="2"/>
      </w:rPr>
    </w:pPr>
  </w:p>
  <w:p w14:paraId="03D40B42" w14:textId="77777777" w:rsidR="00B925AD" w:rsidRDefault="00B925AD">
    <w:pPr>
      <w:pStyle w:val="Zhlav"/>
      <w:ind w:firstLine="1416"/>
      <w:jc w:val="right"/>
      <w:rPr>
        <w:b/>
        <w:sz w:val="2"/>
        <w:szCs w:val="2"/>
      </w:rPr>
    </w:pPr>
  </w:p>
  <w:p w14:paraId="6C7ABF7F" w14:textId="77777777" w:rsidR="00EE11AE" w:rsidRDefault="00EE11AE">
    <w:pPr>
      <w:pStyle w:val="Zhlav"/>
      <w:ind w:firstLine="1416"/>
      <w:jc w:val="right"/>
      <w:rPr>
        <w:b/>
        <w:sz w:val="2"/>
        <w:szCs w:val="2"/>
      </w:rPr>
    </w:pPr>
  </w:p>
  <w:p w14:paraId="029AA26E" w14:textId="77777777" w:rsidR="00EE11AE" w:rsidRDefault="00EE11AE">
    <w:pPr>
      <w:pStyle w:val="Zhlav"/>
      <w:ind w:firstLine="1416"/>
      <w:jc w:val="right"/>
      <w:rPr>
        <w:b/>
        <w:sz w:val="2"/>
        <w:szCs w:val="2"/>
      </w:rPr>
    </w:pPr>
  </w:p>
  <w:p w14:paraId="5B4D8F87" w14:textId="77777777" w:rsidR="00EE11AE" w:rsidRDefault="00EE11AE">
    <w:pPr>
      <w:pStyle w:val="Zhlav"/>
      <w:ind w:firstLine="1416"/>
      <w:jc w:val="right"/>
      <w:rPr>
        <w:b/>
        <w:sz w:val="2"/>
        <w:szCs w:val="2"/>
      </w:rPr>
    </w:pPr>
  </w:p>
  <w:p w14:paraId="02BA0046" w14:textId="77777777" w:rsidR="00EE11AE" w:rsidRDefault="00EE11AE">
    <w:pPr>
      <w:pStyle w:val="Zhlav"/>
      <w:ind w:firstLine="1416"/>
      <w:jc w:val="right"/>
      <w:rPr>
        <w:b/>
        <w:sz w:val="2"/>
        <w:szCs w:val="2"/>
      </w:rPr>
    </w:pPr>
  </w:p>
  <w:p w14:paraId="58AF3280" w14:textId="77777777" w:rsidR="00EE11AE" w:rsidRDefault="00EE11AE">
    <w:pPr>
      <w:pStyle w:val="Zhlav"/>
      <w:ind w:firstLine="1416"/>
      <w:jc w:val="right"/>
      <w:rPr>
        <w:b/>
        <w:sz w:val="2"/>
        <w:szCs w:val="2"/>
      </w:rPr>
    </w:pPr>
  </w:p>
  <w:p w14:paraId="7E7084C2" w14:textId="77777777" w:rsidR="00EE11AE" w:rsidRDefault="00EE11AE">
    <w:pPr>
      <w:pStyle w:val="Zhlav"/>
      <w:ind w:firstLine="1416"/>
      <w:jc w:val="right"/>
      <w:rPr>
        <w:b/>
        <w:sz w:val="2"/>
        <w:szCs w:val="2"/>
      </w:rPr>
    </w:pPr>
  </w:p>
  <w:p w14:paraId="095D7030" w14:textId="77777777" w:rsidR="00EE11AE" w:rsidRDefault="00EE11AE">
    <w:pPr>
      <w:pStyle w:val="Zhlav"/>
      <w:ind w:firstLine="1416"/>
      <w:jc w:val="right"/>
      <w:rPr>
        <w:b/>
        <w:sz w:val="2"/>
        <w:szCs w:val="2"/>
      </w:rPr>
    </w:pPr>
  </w:p>
  <w:p w14:paraId="4DE0E910" w14:textId="77777777" w:rsidR="00EE11AE" w:rsidRDefault="00EE11AE">
    <w:pPr>
      <w:pStyle w:val="Zhlav"/>
      <w:ind w:firstLine="1416"/>
      <w:jc w:val="right"/>
      <w:rPr>
        <w:b/>
        <w:sz w:val="2"/>
        <w:szCs w:val="2"/>
      </w:rPr>
    </w:pPr>
  </w:p>
  <w:p w14:paraId="3DE1B29B" w14:textId="77777777" w:rsidR="00EE11AE" w:rsidRDefault="00EE11AE">
    <w:pPr>
      <w:pStyle w:val="Zhlav"/>
      <w:ind w:firstLine="1416"/>
      <w:jc w:val="right"/>
      <w:rPr>
        <w:b/>
        <w:sz w:val="2"/>
        <w:szCs w:val="2"/>
      </w:rPr>
    </w:pPr>
  </w:p>
  <w:p w14:paraId="54888336" w14:textId="77777777" w:rsidR="00EE11AE" w:rsidRDefault="00EE11AE">
    <w:pPr>
      <w:pStyle w:val="Zhlav"/>
      <w:ind w:firstLine="1416"/>
      <w:jc w:val="right"/>
      <w:rPr>
        <w:b/>
        <w:sz w:val="2"/>
        <w:szCs w:val="2"/>
      </w:rPr>
    </w:pPr>
  </w:p>
  <w:p w14:paraId="728EE3CD" w14:textId="77777777" w:rsidR="00EE11AE" w:rsidRDefault="00EE11AE">
    <w:pPr>
      <w:pStyle w:val="Zhlav"/>
      <w:ind w:firstLine="1416"/>
      <w:jc w:val="right"/>
      <w:rPr>
        <w:b/>
        <w:sz w:val="2"/>
        <w:szCs w:val="2"/>
      </w:rPr>
    </w:pPr>
  </w:p>
  <w:p w14:paraId="78C08B0F" w14:textId="77777777" w:rsidR="00B925AD" w:rsidRDefault="00B925AD">
    <w:pPr>
      <w:pStyle w:val="Zhlav"/>
      <w:ind w:firstLine="1416"/>
      <w:jc w:val="right"/>
      <w:rPr>
        <w:b/>
        <w:sz w:val="2"/>
        <w:szCs w:val="2"/>
      </w:rPr>
    </w:pPr>
  </w:p>
  <w:p w14:paraId="23CCECCA" w14:textId="77777777" w:rsidR="00B925AD" w:rsidRPr="00807B80" w:rsidRDefault="00B925A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EA"/>
    <w:rsid w:val="00090DB3"/>
    <w:rsid w:val="00105117"/>
    <w:rsid w:val="002154D3"/>
    <w:rsid w:val="002428BB"/>
    <w:rsid w:val="00264B99"/>
    <w:rsid w:val="0043194B"/>
    <w:rsid w:val="00461C20"/>
    <w:rsid w:val="004853AD"/>
    <w:rsid w:val="004D1362"/>
    <w:rsid w:val="00556D22"/>
    <w:rsid w:val="00612DEA"/>
    <w:rsid w:val="006D530B"/>
    <w:rsid w:val="007C062F"/>
    <w:rsid w:val="007D667B"/>
    <w:rsid w:val="00901BE7"/>
    <w:rsid w:val="00925CF6"/>
    <w:rsid w:val="00A36414"/>
    <w:rsid w:val="00AC0A7F"/>
    <w:rsid w:val="00B23409"/>
    <w:rsid w:val="00B925AD"/>
    <w:rsid w:val="00BC7FFC"/>
    <w:rsid w:val="00C1746B"/>
    <w:rsid w:val="00E67FD4"/>
    <w:rsid w:val="00EE11AE"/>
    <w:rsid w:val="00F13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2794"/>
  <w15:chartTrackingRefBased/>
  <w15:docId w15:val="{1998180D-C3F1-430B-B795-A8A040B0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DEA"/>
    <w:pPr>
      <w:spacing w:after="200" w:line="276" w:lineRule="auto"/>
    </w:pPr>
    <w:rPr>
      <w:rFonts w:ascii="Calibri" w:eastAsia="Times New Roman" w:hAnsi="Calibri" w:cs="Times New Roman"/>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2D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2DEA"/>
    <w:rPr>
      <w:rFonts w:ascii="Calibri" w:eastAsia="Times New Roman" w:hAnsi="Calibri" w:cs="Times New Roman"/>
      <w:kern w:val="0"/>
      <w:lang w:eastAsia="cs-CZ"/>
      <w14:ligatures w14:val="none"/>
    </w:rPr>
  </w:style>
  <w:style w:type="paragraph" w:styleId="Zpat">
    <w:name w:val="footer"/>
    <w:basedOn w:val="Normln"/>
    <w:link w:val="ZpatChar"/>
    <w:uiPriority w:val="99"/>
    <w:unhideWhenUsed/>
    <w:rsid w:val="00612DEA"/>
    <w:pPr>
      <w:tabs>
        <w:tab w:val="center" w:pos="4536"/>
        <w:tab w:val="right" w:pos="9072"/>
      </w:tabs>
      <w:spacing w:after="0" w:line="240" w:lineRule="auto"/>
    </w:pPr>
  </w:style>
  <w:style w:type="character" w:customStyle="1" w:styleId="ZpatChar">
    <w:name w:val="Zápatí Char"/>
    <w:basedOn w:val="Standardnpsmoodstavce"/>
    <w:link w:val="Zpat"/>
    <w:uiPriority w:val="99"/>
    <w:rsid w:val="00612DEA"/>
    <w:rPr>
      <w:rFonts w:ascii="Calibri" w:eastAsia="Times New Roman" w:hAnsi="Calibri" w:cs="Times New Roman"/>
      <w:kern w:val="0"/>
      <w:lang w:eastAsia="cs-CZ"/>
      <w14:ligatures w14:val="none"/>
    </w:rPr>
  </w:style>
  <w:style w:type="character" w:styleId="Hypertextovodkaz">
    <w:name w:val="Hyperlink"/>
    <w:uiPriority w:val="99"/>
    <w:unhideWhenUsed/>
    <w:rsid w:val="00612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pearmedia.cz"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psy.cz" TargetMode="External"/><Relationship Id="rId11" Type="http://schemas.openxmlformats.org/officeDocument/2006/relationships/hyperlink" Target="http://www.sssvt.cz"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kolajarov.cz/" TargetMode="External"/><Relationship Id="rId4" Type="http://schemas.openxmlformats.org/officeDocument/2006/relationships/footnotes" Target="footnotes.xml"/><Relationship Id="rId9" Type="http://schemas.openxmlformats.org/officeDocument/2006/relationships/hyperlink" Target="http://pearmedi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781</Words>
  <Characters>4612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4</cp:revision>
  <dcterms:created xsi:type="dcterms:W3CDTF">2024-12-03T08:10:00Z</dcterms:created>
  <dcterms:modified xsi:type="dcterms:W3CDTF">2024-12-03T08:20:00Z</dcterms:modified>
</cp:coreProperties>
</file>