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27B8" w14:textId="77777777" w:rsidR="007917DB" w:rsidRPr="00E616CA" w:rsidRDefault="007917DB" w:rsidP="007917DB">
      <w:pPr>
        <w:spacing w:after="0"/>
        <w:jc w:val="center"/>
        <w:rPr>
          <w:rFonts w:ascii="Tahoma" w:eastAsiaTheme="majorEastAsia" w:hAnsi="Tahoma" w:cs="Tahoma"/>
          <w:b/>
          <w:bCs/>
          <w:spacing w:val="-10"/>
          <w:kern w:val="28"/>
          <w:sz w:val="42"/>
          <w:szCs w:val="42"/>
        </w:rPr>
      </w:pPr>
      <w:r w:rsidRPr="00E616CA">
        <w:rPr>
          <w:rFonts w:ascii="Tahoma" w:eastAsiaTheme="majorEastAsia" w:hAnsi="Tahoma" w:cs="Tahoma"/>
          <w:b/>
          <w:bCs/>
          <w:spacing w:val="-10"/>
          <w:kern w:val="28"/>
          <w:sz w:val="42"/>
          <w:szCs w:val="42"/>
        </w:rPr>
        <w:t>Zlato letos zdražilo téměř o 25 procent. Cena může klesnout po amerických volbách</w:t>
      </w:r>
    </w:p>
    <w:p w14:paraId="0EDB9A89" w14:textId="77777777" w:rsidR="007917DB" w:rsidRPr="00BB4F5E" w:rsidRDefault="007917DB" w:rsidP="007917DB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9C42156" w14:textId="77777777" w:rsidR="007917DB" w:rsidRPr="00D51630" w:rsidRDefault="007917DB" w:rsidP="007917DB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055AEA">
        <w:rPr>
          <w:rFonts w:ascii="Tahoma" w:eastAsia="Tahoma" w:hAnsi="Tahoma" w:cs="Tahoma"/>
          <w:b/>
          <w:sz w:val="21"/>
          <w:szCs w:val="21"/>
        </w:rPr>
        <w:t xml:space="preserve">PRAHA, </w:t>
      </w:r>
      <w:r>
        <w:rPr>
          <w:rFonts w:ascii="Tahoma" w:eastAsia="Tahoma" w:hAnsi="Tahoma" w:cs="Tahoma"/>
          <w:b/>
          <w:sz w:val="21"/>
          <w:szCs w:val="21"/>
        </w:rPr>
        <w:t>20. ZÁŘÍ</w:t>
      </w:r>
      <w:r w:rsidRPr="00055AEA">
        <w:rPr>
          <w:rFonts w:ascii="Tahoma" w:eastAsia="Tahoma" w:hAnsi="Tahoma" w:cs="Tahoma"/>
          <w:b/>
          <w:sz w:val="21"/>
          <w:szCs w:val="21"/>
        </w:rPr>
        <w:t xml:space="preserve"> 2024 – </w:t>
      </w:r>
      <w:r>
        <w:rPr>
          <w:rFonts w:ascii="Tahoma" w:eastAsia="Tahoma" w:hAnsi="Tahoma" w:cs="Tahoma"/>
          <w:b/>
          <w:sz w:val="21"/>
          <w:szCs w:val="21"/>
        </w:rPr>
        <w:t xml:space="preserve">Cena zlata se dere neustále vzhůru a investoři netrpělivě očekávají její korekci. Ještě před ní by se ale cena drahého kovu mohla vyšplhat až na 60 tisíc korun za trojskou unci. </w:t>
      </w:r>
    </w:p>
    <w:p w14:paraId="143F9020" w14:textId="77777777" w:rsidR="007917DB" w:rsidRDefault="007917DB" w:rsidP="007917DB">
      <w:pP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Od začátku roku láme cena zlata jeden rekord za druhým.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BB4F5E">
        <w:rPr>
          <w:rFonts w:ascii="Tahoma" w:eastAsia="Tahoma" w:hAnsi="Tahoma" w:cs="Tahoma"/>
          <w:color w:val="CC9900"/>
          <w:sz w:val="21"/>
          <w:szCs w:val="21"/>
        </w:rPr>
        <w:t>1. ledna letošního roku byla cena zlata v korunách na částce 46 190 korun.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BB4F5E">
        <w:rPr>
          <w:rFonts w:ascii="Tahoma" w:eastAsia="Tahoma" w:hAnsi="Tahoma" w:cs="Tahoma"/>
          <w:color w:val="CC9900"/>
          <w:sz w:val="21"/>
          <w:szCs w:val="21"/>
        </w:rPr>
        <w:t xml:space="preserve">V polovině září </w:t>
      </w:r>
      <w:r>
        <w:rPr>
          <w:rFonts w:ascii="Tahoma" w:eastAsia="Tahoma" w:hAnsi="Tahoma" w:cs="Tahoma"/>
          <w:color w:val="CC9900"/>
          <w:sz w:val="21"/>
          <w:szCs w:val="21"/>
        </w:rPr>
        <w:t>cena zlata poprvé překonala hranici</w:t>
      </w:r>
      <w:r w:rsidRPr="00BB4F5E">
        <w:rPr>
          <w:rFonts w:ascii="Tahoma" w:eastAsia="Tahoma" w:hAnsi="Tahoma" w:cs="Tahoma"/>
          <w:color w:val="CC9900"/>
          <w:sz w:val="21"/>
          <w:szCs w:val="21"/>
        </w:rPr>
        <w:t xml:space="preserve"> 58 tisíc za trojskou unci</w:t>
      </w:r>
      <w:r>
        <w:rPr>
          <w:rFonts w:ascii="Tahoma" w:eastAsia="Tahoma" w:hAnsi="Tahoma" w:cs="Tahoma"/>
          <w:color w:val="CC9900"/>
          <w:sz w:val="21"/>
          <w:szCs w:val="21"/>
        </w:rPr>
        <w:t>, na které se nyní pohodlně drží</w:t>
      </w:r>
      <w:r w:rsidRPr="00BB4F5E">
        <w:rPr>
          <w:rFonts w:ascii="Tahoma" w:eastAsia="Tahoma" w:hAnsi="Tahoma" w:cs="Tahoma"/>
          <w:color w:val="CC9900"/>
          <w:sz w:val="21"/>
          <w:szCs w:val="21"/>
        </w:rPr>
        <w:t>. V korunách je to rozdíl přes 11 tisíc a v procentech 24 procent za devět měsíců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>
        <w:rPr>
          <w:rFonts w:ascii="Tahoma" w:eastAsia="Tahoma" w:hAnsi="Tahoma" w:cs="Tahoma"/>
          <w:sz w:val="21"/>
          <w:szCs w:val="21"/>
        </w:rPr>
        <w:t>popsal</w:t>
      </w:r>
      <w:r w:rsidRPr="00055AEA">
        <w:rPr>
          <w:rFonts w:ascii="Tahoma" w:eastAsia="Tahoma" w:hAnsi="Tahoma" w:cs="Tahoma"/>
          <w:sz w:val="21"/>
          <w:szCs w:val="21"/>
        </w:rPr>
        <w:t xml:space="preserve"> Roman Pilíšek, ekonom a spoluzakladatel společnosti Zlaté rezervy.</w:t>
      </w:r>
    </w:p>
    <w:p w14:paraId="6588D1B9" w14:textId="77777777" w:rsidR="007917DB" w:rsidRPr="005A6F86" w:rsidRDefault="007917DB" w:rsidP="007917DB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Kvůli růstu ceny zlata klesá poptávka zejména ze strany drobných investorů. V případě, že zájem o drahý kov klesá, snižuje se i jeho cena, to se ale prozatím neděje.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 xml:space="preserve">Propad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poptávky 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 xml:space="preserve">oproti minulému roku se pohybuje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momentálně 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>kolem 50 procent. Cenu zlata na historických maximech ale udržuje robustní poptávka ze strany centrálních bank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Pr="004238B0">
        <w:rPr>
          <w:rFonts w:ascii="Tahoma" w:eastAsia="Tahoma" w:hAnsi="Tahoma" w:cs="Tahoma"/>
          <w:color w:val="CC9900"/>
          <w:sz w:val="21"/>
          <w:szCs w:val="21"/>
        </w:rPr>
        <w:t>Ty během první poloviny letošního roku vytvořily nový rekord, když nakoupily přes 480 tun zlata.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Mezi největšími kupujícími byly banky z </w:t>
      </w:r>
      <w:r w:rsidRPr="00DA0E44">
        <w:rPr>
          <w:rFonts w:ascii="Tahoma" w:eastAsia="Tahoma" w:hAnsi="Tahoma" w:cs="Tahoma"/>
          <w:color w:val="CC9900"/>
          <w:sz w:val="21"/>
          <w:szCs w:val="21"/>
        </w:rPr>
        <w:t>Tureck</w:t>
      </w:r>
      <w:r>
        <w:rPr>
          <w:rFonts w:ascii="Tahoma" w:eastAsia="Tahoma" w:hAnsi="Tahoma" w:cs="Tahoma"/>
          <w:color w:val="CC9900"/>
          <w:sz w:val="21"/>
          <w:szCs w:val="21"/>
        </w:rPr>
        <w:t>a</w:t>
      </w:r>
      <w:r w:rsidRPr="00DA0E44">
        <w:rPr>
          <w:rFonts w:ascii="Tahoma" w:eastAsia="Tahoma" w:hAnsi="Tahoma" w:cs="Tahoma"/>
          <w:color w:val="CC9900"/>
          <w:sz w:val="21"/>
          <w:szCs w:val="21"/>
        </w:rPr>
        <w:t>, Čín</w:t>
      </w:r>
      <w:r>
        <w:rPr>
          <w:rFonts w:ascii="Tahoma" w:eastAsia="Tahoma" w:hAnsi="Tahoma" w:cs="Tahoma"/>
          <w:color w:val="CC9900"/>
          <w:sz w:val="21"/>
          <w:szCs w:val="21"/>
        </w:rPr>
        <w:t>y</w:t>
      </w:r>
      <w:r w:rsidRPr="00DA0E44">
        <w:rPr>
          <w:rFonts w:ascii="Tahoma" w:eastAsia="Tahoma" w:hAnsi="Tahoma" w:cs="Tahoma"/>
          <w:color w:val="CC9900"/>
          <w:sz w:val="21"/>
          <w:szCs w:val="21"/>
        </w:rPr>
        <w:t>, Indi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e a </w:t>
      </w:r>
      <w:r w:rsidRPr="00DA0E44">
        <w:rPr>
          <w:rFonts w:ascii="Tahoma" w:eastAsia="Tahoma" w:hAnsi="Tahoma" w:cs="Tahoma"/>
          <w:color w:val="CC9900"/>
          <w:sz w:val="21"/>
          <w:szCs w:val="21"/>
        </w:rPr>
        <w:t>Kazachstán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u. Pozadu nezůstává ani Česká národní banka, která se stala v letošním roce </w:t>
      </w:r>
      <w:r w:rsidRPr="00DA0E44">
        <w:rPr>
          <w:rFonts w:ascii="Tahoma" w:eastAsia="Tahoma" w:hAnsi="Tahoma" w:cs="Tahoma"/>
          <w:color w:val="CC9900"/>
          <w:sz w:val="21"/>
          <w:szCs w:val="21"/>
        </w:rPr>
        <w:t>pátým největším kupcem žlutého kovu mezi centrálními bankami na světě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 pravděpodobně vlastní po dlouhé době více zlata než samotní občané</w:t>
      </w:r>
      <w:r w:rsidRPr="00DA0E44">
        <w:rPr>
          <w:rFonts w:ascii="Tahoma" w:eastAsia="Tahoma" w:hAnsi="Tahoma" w:cs="Tahoma"/>
          <w:color w:val="CC9900"/>
          <w:sz w:val="21"/>
          <w:szCs w:val="21"/>
        </w:rPr>
        <w:t xml:space="preserve">. ČNB měla na konci prvního kvartálu ve svých rezervách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přibližně </w:t>
      </w:r>
      <w:r w:rsidRPr="00DA0E44">
        <w:rPr>
          <w:rFonts w:ascii="Tahoma" w:eastAsia="Tahoma" w:hAnsi="Tahoma" w:cs="Tahoma"/>
          <w:color w:val="CC9900"/>
          <w:sz w:val="21"/>
          <w:szCs w:val="21"/>
        </w:rPr>
        <w:t>36 tun zlata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sdělil Roman Pilíšek.</w:t>
      </w:r>
    </w:p>
    <w:p w14:paraId="4CE28597" w14:textId="77777777" w:rsidR="007917DB" w:rsidRPr="009B46D4" w:rsidRDefault="007917DB" w:rsidP="007917DB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Podle některých ekonomů by ale během letošního roku k mírnému poklesu ceny ještě dojít mohlo. </w:t>
      </w:r>
      <w:r w:rsidRPr="00055AEA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 xml:space="preserve">Burzovní cena zlata se drží v blízkosti historického maxima. Dlouhodobý cyklus na zlatě má nadále růstový směr. </w:t>
      </w:r>
      <w:r w:rsidRPr="004238B0">
        <w:rPr>
          <w:rFonts w:ascii="Tahoma" w:eastAsia="Tahoma" w:hAnsi="Tahoma" w:cs="Tahoma"/>
          <w:color w:val="CC9900"/>
          <w:sz w:val="21"/>
          <w:szCs w:val="21"/>
        </w:rPr>
        <w:t>Posun k pásmu 2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4238B0">
        <w:rPr>
          <w:rFonts w:ascii="Tahoma" w:eastAsia="Tahoma" w:hAnsi="Tahoma" w:cs="Tahoma"/>
          <w:color w:val="CC9900"/>
          <w:sz w:val="21"/>
          <w:szCs w:val="21"/>
        </w:rPr>
        <w:t>700 až 2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4238B0">
        <w:rPr>
          <w:rFonts w:ascii="Tahoma" w:eastAsia="Tahoma" w:hAnsi="Tahoma" w:cs="Tahoma"/>
          <w:color w:val="CC9900"/>
          <w:sz w:val="21"/>
          <w:szCs w:val="21"/>
        </w:rPr>
        <w:t xml:space="preserve">800 amerických dolarů, tedy 60 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>tisíc korun za trojskou unci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 xml:space="preserve"> do konce roku je pravděpodobný. Nicméně některé technické i cyklické ukazatele nevylučuj</w:t>
      </w:r>
      <w:r>
        <w:rPr>
          <w:rFonts w:ascii="Tahoma" w:eastAsia="Tahoma" w:hAnsi="Tahoma" w:cs="Tahoma"/>
          <w:color w:val="CC9900"/>
          <w:sz w:val="21"/>
          <w:szCs w:val="21"/>
        </w:rPr>
        <w:t>í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rychlou podzimní korekci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 xml:space="preserve"> ceny k hodnotě 53 </w:t>
      </w:r>
      <w:r>
        <w:rPr>
          <w:rFonts w:ascii="Tahoma" w:eastAsia="Tahoma" w:hAnsi="Tahoma" w:cs="Tahoma"/>
          <w:color w:val="CC9900"/>
          <w:sz w:val="21"/>
          <w:szCs w:val="21"/>
        </w:rPr>
        <w:t>tisíc korun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Aktuální r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 xml:space="preserve">ozhodnutí americké centrální banky o </w:t>
      </w:r>
      <w:r>
        <w:rPr>
          <w:rFonts w:ascii="Tahoma" w:eastAsia="Tahoma" w:hAnsi="Tahoma" w:cs="Tahoma"/>
          <w:color w:val="CC9900"/>
          <w:sz w:val="21"/>
          <w:szCs w:val="21"/>
        </w:rPr>
        <w:t>snížení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 xml:space="preserve"> úrokových sazeb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bylo již v ceně zlata započteno. Další významnou podzimní událostí jsou prezidentské volby v USA,“ </w:t>
      </w:r>
      <w:r>
        <w:rPr>
          <w:rFonts w:ascii="Tahoma" w:eastAsia="Tahoma" w:hAnsi="Tahoma" w:cs="Tahoma"/>
          <w:sz w:val="21"/>
          <w:szCs w:val="21"/>
        </w:rPr>
        <w:t xml:space="preserve">řekl </w:t>
      </w:r>
      <w:r w:rsidRPr="00055AEA">
        <w:rPr>
          <w:rFonts w:ascii="Tahoma" w:eastAsia="Tahoma" w:hAnsi="Tahoma" w:cs="Tahoma"/>
          <w:sz w:val="21"/>
          <w:szCs w:val="21"/>
        </w:rPr>
        <w:t>Roman Pilíšek.</w:t>
      </w:r>
    </w:p>
    <w:p w14:paraId="292BD476" w14:textId="77777777" w:rsidR="007917DB" w:rsidRPr="00E616CA" w:rsidRDefault="007917DB" w:rsidP="007917DB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Právě k podzimním americkým volbám se upírají zraky investorů. Jejich výsledky by totiž mohly cenu zlata snížit.</w:t>
      </w:r>
      <w:r w:rsidRPr="00427A03">
        <w:rPr>
          <w:rFonts w:ascii="Tahoma" w:eastAsia="Tahoma" w:hAnsi="Tahoma" w:cs="Tahoma"/>
          <w:sz w:val="21"/>
          <w:szCs w:val="21"/>
        </w:rPr>
        <w:t xml:space="preserve"> </w:t>
      </w:r>
      <w:r w:rsidRPr="00427A03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>Výsledky amerických voleb mohou ovlivnit cenu zlata z několika důvodů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>Pokud výsledky voleb naznačují, že nová vláda bude podporovat ekonomický růst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důvěra 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>investo</w:t>
      </w:r>
      <w:r>
        <w:rPr>
          <w:rFonts w:ascii="Tahoma" w:eastAsia="Tahoma" w:hAnsi="Tahoma" w:cs="Tahoma"/>
          <w:color w:val="CC9900"/>
          <w:sz w:val="21"/>
          <w:szCs w:val="21"/>
        </w:rPr>
        <w:t>rů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v </w:t>
      </w:r>
      <w:r w:rsidRPr="005C5D71">
        <w:rPr>
          <w:rFonts w:ascii="Tahoma" w:eastAsia="Tahoma" w:hAnsi="Tahoma" w:cs="Tahoma"/>
          <w:color w:val="CC9900"/>
          <w:sz w:val="21"/>
          <w:szCs w:val="21"/>
        </w:rPr>
        <w:t>rizikovější aktiva, jako jsou akcie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se může zvýšit, což sníží poptávku po zlatě. 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>Výsledk</w:t>
      </w:r>
      <w:r>
        <w:rPr>
          <w:rFonts w:ascii="Tahoma" w:eastAsia="Tahoma" w:hAnsi="Tahoma" w:cs="Tahoma"/>
          <w:color w:val="CC9900"/>
          <w:sz w:val="21"/>
          <w:szCs w:val="21"/>
        </w:rPr>
        <w:t>y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 xml:space="preserve"> voleb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mohou 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>také vést k posílení amerického dolaru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 xml:space="preserve">pokud posílí, zlato se </w:t>
      </w:r>
      <w:r>
        <w:rPr>
          <w:rFonts w:ascii="Tahoma" w:eastAsia="Tahoma" w:hAnsi="Tahoma" w:cs="Tahoma"/>
          <w:color w:val="CC9900"/>
          <w:sz w:val="21"/>
          <w:szCs w:val="21"/>
        </w:rPr>
        <w:t>stane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 xml:space="preserve"> pro investory, kteří </w:t>
      </w:r>
      <w:r>
        <w:rPr>
          <w:rFonts w:ascii="Tahoma" w:eastAsia="Tahoma" w:hAnsi="Tahoma" w:cs="Tahoma"/>
          <w:color w:val="CC9900"/>
          <w:sz w:val="21"/>
          <w:szCs w:val="21"/>
        </w:rPr>
        <w:t>nakupují v jiné měně, dražší, t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>o může snížit poptávku po zlatě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C34D4B">
        <w:rPr>
          <w:rFonts w:ascii="Tahoma" w:eastAsia="Tahoma" w:hAnsi="Tahoma" w:cs="Tahoma"/>
          <w:color w:val="CC9900"/>
          <w:sz w:val="21"/>
          <w:szCs w:val="21"/>
        </w:rPr>
        <w:t xml:space="preserve"> a tím i jeho cenu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Pr="00752640">
        <w:rPr>
          <w:rFonts w:ascii="Tahoma" w:eastAsia="Tahoma" w:hAnsi="Tahoma" w:cs="Tahoma"/>
          <w:sz w:val="21"/>
          <w:szCs w:val="21"/>
        </w:rPr>
        <w:t>přiblížil ekonom.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„V</w:t>
      </w:r>
      <w:r w:rsidRPr="00E616CA">
        <w:rPr>
          <w:rFonts w:ascii="Tahoma" w:eastAsia="Tahoma" w:hAnsi="Tahoma" w:cs="Tahoma"/>
          <w:color w:val="CC9900"/>
          <w:sz w:val="21"/>
          <w:szCs w:val="21"/>
        </w:rPr>
        <w:t>zhledem k dosavadnímu průběhu předvolební kampaně lz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e </w:t>
      </w:r>
      <w:r w:rsidRPr="00E616CA">
        <w:rPr>
          <w:rFonts w:ascii="Tahoma" w:eastAsia="Tahoma" w:hAnsi="Tahoma" w:cs="Tahoma"/>
          <w:color w:val="CC9900"/>
          <w:sz w:val="21"/>
          <w:szCs w:val="21"/>
        </w:rPr>
        <w:t>usuzovat, že volby mohou přinést do finančních trhů vysokou míru nejistoty, která naopak požene cenu zlata nahoru i přes hranici 2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E616CA">
        <w:rPr>
          <w:rFonts w:ascii="Tahoma" w:eastAsia="Tahoma" w:hAnsi="Tahoma" w:cs="Tahoma"/>
          <w:color w:val="CC9900"/>
          <w:sz w:val="21"/>
          <w:szCs w:val="21"/>
        </w:rPr>
        <w:t xml:space="preserve">700 </w:t>
      </w:r>
      <w:r>
        <w:rPr>
          <w:rFonts w:ascii="Tahoma" w:eastAsia="Tahoma" w:hAnsi="Tahoma" w:cs="Tahoma"/>
          <w:color w:val="CC9900"/>
          <w:sz w:val="21"/>
          <w:szCs w:val="21"/>
        </w:rPr>
        <w:t>amerických dolarů</w:t>
      </w:r>
      <w:r w:rsidRPr="00E616CA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T</w:t>
      </w:r>
      <w:r w:rsidRPr="00E616CA">
        <w:rPr>
          <w:rFonts w:ascii="Tahoma" w:eastAsia="Tahoma" w:hAnsi="Tahoma" w:cs="Tahoma"/>
          <w:color w:val="CC9900"/>
          <w:sz w:val="21"/>
          <w:szCs w:val="21"/>
        </w:rPr>
        <w:t>eprve po uklidnění by zlato mohlo přejít do očekáváné korekce,“</w:t>
      </w:r>
      <w:r w:rsidRPr="00E12481">
        <w:rPr>
          <w:rFonts w:ascii="Tahoma" w:eastAsia="Tahoma" w:hAnsi="Tahoma" w:cs="Tahoma"/>
          <w:color w:val="FFC0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uzavřel.</w:t>
      </w:r>
    </w:p>
    <w:p w14:paraId="11828E35" w14:textId="77777777" w:rsidR="007917DB" w:rsidRDefault="007917DB" w:rsidP="007917DB">
      <w:pPr>
        <w:jc w:val="both"/>
        <w:rPr>
          <w:rFonts w:ascii="Tahoma" w:eastAsia="Tahoma" w:hAnsi="Tahoma" w:cs="Tahoma"/>
          <w:b/>
        </w:rPr>
      </w:pPr>
    </w:p>
    <w:p w14:paraId="58964AD7" w14:textId="77777777" w:rsidR="007917DB" w:rsidRPr="00055AEA" w:rsidRDefault="007917DB" w:rsidP="007917DB">
      <w:pPr>
        <w:jc w:val="both"/>
        <w:rPr>
          <w:rFonts w:ascii="Tahoma" w:eastAsia="Tahoma" w:hAnsi="Tahoma" w:cs="Tahoma"/>
          <w:b/>
        </w:rPr>
      </w:pPr>
      <w:r w:rsidRPr="00055AEA">
        <w:rPr>
          <w:rFonts w:ascii="Tahoma" w:eastAsia="Tahoma" w:hAnsi="Tahoma" w:cs="Tahoma"/>
          <w:b/>
        </w:rPr>
        <w:lastRenderedPageBreak/>
        <w:t>KONTAKT PRO MÉDIA:</w:t>
      </w:r>
    </w:p>
    <w:p w14:paraId="18C1EDCE" w14:textId="77777777" w:rsidR="007917DB" w:rsidRPr="00055AEA" w:rsidRDefault="007917DB" w:rsidP="007917DB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055AEA"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 w:rsidRPr="00055AEA"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 w:rsidRPr="00055AEA"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 w:rsidRPr="00055AEA"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62CCA730" w14:textId="77777777" w:rsidR="007917DB" w:rsidRPr="00055AEA" w:rsidRDefault="007917DB" w:rsidP="007917DB">
      <w:pPr>
        <w:rPr>
          <w:rFonts w:ascii="Tahoma" w:eastAsia="Tahoma" w:hAnsi="Tahoma" w:cs="Tahoma"/>
          <w:b/>
          <w:sz w:val="20"/>
          <w:szCs w:val="20"/>
        </w:rPr>
      </w:pPr>
      <w:r w:rsidRPr="00055AEA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3BED9870" wp14:editId="24FDDA9A">
            <wp:extent cx="833620" cy="132741"/>
            <wp:effectExtent l="0" t="0" r="0" b="0"/>
            <wp:docPr id="11" name="image2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ear_media logo_fin rgb_bez okraju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36D4D8" w14:textId="77777777" w:rsidR="007917DB" w:rsidRDefault="007917DB" w:rsidP="007917DB">
      <w:pPr>
        <w:pBdr>
          <w:bottom w:val="single" w:sz="6" w:space="1" w:color="000000"/>
        </w:pBdr>
        <w:rPr>
          <w:rFonts w:ascii="Tahoma" w:eastAsia="Tahoma" w:hAnsi="Tahoma" w:cs="Tahoma"/>
          <w:b/>
          <w:sz w:val="20"/>
          <w:szCs w:val="20"/>
        </w:rPr>
      </w:pPr>
      <w:r w:rsidRPr="00055AEA"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 w:rsidRPr="00055AEA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32905EB3" w14:textId="77777777" w:rsidR="007917DB" w:rsidRPr="00F5172B" w:rsidRDefault="007917DB" w:rsidP="007917DB">
      <w:pPr>
        <w:pBdr>
          <w:bottom w:val="single" w:sz="6" w:space="1" w:color="000000"/>
        </w:pBdr>
        <w:rPr>
          <w:rFonts w:ascii="Tahoma" w:eastAsia="Tahoma" w:hAnsi="Tahoma" w:cs="Tahoma"/>
          <w:b/>
          <w:sz w:val="20"/>
          <w:szCs w:val="20"/>
        </w:rPr>
      </w:pPr>
      <w:hyperlink r:id="rId6">
        <w:r w:rsidRPr="00055AEA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 w:rsidRPr="00055AEA">
        <w:rPr>
          <w:rFonts w:ascii="Tahoma" w:eastAsia="Tahoma" w:hAnsi="Tahoma" w:cs="Tahoma"/>
          <w:sz w:val="20"/>
          <w:szCs w:val="20"/>
        </w:rPr>
        <w:br/>
      </w:r>
    </w:p>
    <w:p w14:paraId="678DD902" w14:textId="77777777" w:rsidR="007917DB" w:rsidRPr="00055AEA" w:rsidRDefault="007917DB" w:rsidP="007917DB">
      <w:pPr>
        <w:rPr>
          <w:rFonts w:ascii="Tahoma" w:eastAsia="Tahoma" w:hAnsi="Tahoma" w:cs="Tahoma"/>
          <w:b/>
        </w:rPr>
      </w:pPr>
      <w:r w:rsidRPr="00055AEA">
        <w:rPr>
          <w:rFonts w:ascii="Tahoma" w:eastAsia="Tahoma" w:hAnsi="Tahoma" w:cs="Tahoma"/>
          <w:b/>
        </w:rPr>
        <w:t xml:space="preserve">ZLATÉ REZERVY, </w:t>
      </w:r>
      <w:hyperlink r:id="rId7" w:history="1">
        <w:r w:rsidRPr="00055AEA">
          <w:rPr>
            <w:rStyle w:val="Hypertextovodkaz"/>
            <w:rFonts w:ascii="Tahoma" w:eastAsia="Tahoma" w:hAnsi="Tahoma" w:cs="Tahoma"/>
            <w:b/>
          </w:rPr>
          <w:t>www.zlaterezervy.cz</w:t>
        </w:r>
      </w:hyperlink>
    </w:p>
    <w:p w14:paraId="47CB15B7" w14:textId="77777777" w:rsidR="007917DB" w:rsidRPr="00055AEA" w:rsidRDefault="007917DB" w:rsidP="007917DB">
      <w:pPr>
        <w:jc w:val="both"/>
        <w:rPr>
          <w:rFonts w:ascii="Tahoma" w:eastAsia="Tahoma" w:hAnsi="Tahoma" w:cs="Tahoma"/>
          <w:sz w:val="20"/>
          <w:szCs w:val="20"/>
        </w:rPr>
      </w:pPr>
      <w:r w:rsidRPr="00055AEA">
        <w:rPr>
          <w:rFonts w:ascii="Tahoma" w:eastAsia="Tahoma" w:hAnsi="Tahoma" w:cs="Tahoma"/>
          <w:sz w:val="20"/>
          <w:szCs w:val="20"/>
        </w:rPr>
        <w:t>Společnost ZLATÉ REZERVY s.r.o. je obchodní společností zabývající se prodejem a výkupem fyzického investičního zlata a stříbra v podobě uzančních slitků a mincí od roku 2010. Fyzické investiční zlato a stříbro je svým charakterem zboží, jehož cena je ovlivňována vývojem na světových trzích – držitel takovéhoto zboží je tedy vystaven riziku ztráty. Společnost pokládá služby spojené s výkupem investičního zlata a stříbra za stejně významné jako při prodeji. Je si plně vědoma skutečnosti, že každý držitel zlata a stříbra může dříve nebo později potřebovat svou investici směnit na hotovost. Společnost ZLATÉ REZERVY s.r.o. poskytuje smluvní garanci, že od svého zákazníka kdykoliv odkoupí investiční zlato a stříbro zpět.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550CEE36" w14:textId="77777777" w:rsidR="007917DB" w:rsidRPr="00055AEA" w:rsidRDefault="007917DB" w:rsidP="007917DB">
      <w:pPr>
        <w:rPr>
          <w:rFonts w:ascii="Tahoma" w:hAnsi="Tahoma" w:cs="Tahoma"/>
        </w:rPr>
      </w:pPr>
      <w:bookmarkStart w:id="0" w:name="_heading=h.30j0zll" w:colFirst="0" w:colLast="0"/>
      <w:bookmarkEnd w:id="0"/>
      <w:r>
        <w:rPr>
          <w:rFonts w:ascii="Tahoma" w:eastAsia="Tahoma" w:hAnsi="Tahoma" w:cs="Tahoma"/>
          <w:b/>
        </w:rPr>
        <w:t xml:space="preserve">Mgr. </w:t>
      </w:r>
      <w:r w:rsidRPr="00055AEA">
        <w:rPr>
          <w:rFonts w:ascii="Tahoma" w:eastAsia="Tahoma" w:hAnsi="Tahoma" w:cs="Tahoma"/>
          <w:b/>
        </w:rPr>
        <w:t>ROMAN PILÍŠEK</w:t>
      </w:r>
    </w:p>
    <w:p w14:paraId="6C1B7A90" w14:textId="77777777" w:rsidR="007917DB" w:rsidRPr="00055AEA" w:rsidRDefault="007917DB" w:rsidP="007917DB">
      <w:pPr>
        <w:jc w:val="both"/>
        <w:rPr>
          <w:rFonts w:ascii="Tahoma" w:eastAsia="Tahoma" w:hAnsi="Tahoma" w:cs="Tahoma"/>
          <w:sz w:val="20"/>
          <w:szCs w:val="20"/>
        </w:rPr>
      </w:pPr>
      <w:r w:rsidRPr="00055AEA">
        <w:rPr>
          <w:rFonts w:ascii="Tahoma" w:eastAsia="Tahoma" w:hAnsi="Tahoma" w:cs="Tahoma"/>
          <w:sz w:val="20"/>
          <w:szCs w:val="20"/>
        </w:rPr>
        <w:t>Je spoluzakladatelem a hlavním ekonomem společnosti ZLATÉ REZERVY s.r.o. Dále publikuje ekonomické analýzy a komentáře v médiích a na portálu www.zlaterezervy.cz.</w:t>
      </w:r>
    </w:p>
    <w:p w14:paraId="7539C432" w14:textId="77777777" w:rsidR="007917DB" w:rsidRPr="00055AEA" w:rsidRDefault="007917DB" w:rsidP="007917DB">
      <w:pPr>
        <w:jc w:val="both"/>
        <w:rPr>
          <w:rFonts w:ascii="Tahoma" w:eastAsia="Tahoma" w:hAnsi="Tahoma" w:cs="Tahoma"/>
          <w:sz w:val="20"/>
          <w:szCs w:val="20"/>
        </w:rPr>
      </w:pPr>
      <w:r w:rsidRPr="00055AEA">
        <w:rPr>
          <w:rFonts w:ascii="Tahoma" w:eastAsia="Tahoma" w:hAnsi="Tahoma" w:cs="Tahoma"/>
          <w:sz w:val="20"/>
          <w:szCs w:val="20"/>
        </w:rPr>
        <w:t>Roman Pilíšek je absolventem Univerzity Tomáše Bati ve Zlíně, kde se již během studia intenzivně zabýval problematikou finančních a komoditních trhů. Dále je absolventem magisterského studijního programu politologie s vedlejší specializací politická ekonomie na vysoké škole CEVRO Institut v Praze.</w:t>
      </w:r>
    </w:p>
    <w:p w14:paraId="4428A2EE" w14:textId="77777777" w:rsidR="007917DB" w:rsidRPr="00055AEA" w:rsidRDefault="007917DB" w:rsidP="007917DB">
      <w:pPr>
        <w:rPr>
          <w:rFonts w:ascii="Tahoma" w:hAnsi="Tahoma" w:cs="Tahoma"/>
        </w:rPr>
      </w:pPr>
    </w:p>
    <w:p w14:paraId="65FF6C89" w14:textId="77777777" w:rsidR="007917DB" w:rsidRDefault="007917DB" w:rsidP="007917DB"/>
    <w:p w14:paraId="12F3A913" w14:textId="77777777" w:rsidR="007917DB" w:rsidRDefault="007917DB" w:rsidP="007917DB"/>
    <w:p w14:paraId="28AA078F" w14:textId="77777777" w:rsidR="007917DB" w:rsidRDefault="007917DB" w:rsidP="007917DB"/>
    <w:p w14:paraId="1DF0C1A2" w14:textId="77777777" w:rsidR="007917DB" w:rsidRDefault="007917DB" w:rsidP="007917DB"/>
    <w:p w14:paraId="38411EAC" w14:textId="77777777" w:rsidR="007917DB" w:rsidRDefault="007917DB" w:rsidP="007917DB"/>
    <w:p w14:paraId="35427684" w14:textId="77777777" w:rsidR="007917DB" w:rsidRDefault="007917DB" w:rsidP="007917DB"/>
    <w:p w14:paraId="51C96B1C" w14:textId="77777777" w:rsidR="007917DB" w:rsidRDefault="007917DB" w:rsidP="007917DB"/>
    <w:p w14:paraId="371F041D" w14:textId="77777777" w:rsidR="007917DB" w:rsidRDefault="007917DB" w:rsidP="007917DB"/>
    <w:p w14:paraId="535C886F" w14:textId="77777777" w:rsidR="007917DB" w:rsidRDefault="007917DB"/>
    <w:sectPr w:rsidR="007917DB" w:rsidSect="007917DB">
      <w:headerReference w:type="default" r:id="rId8"/>
      <w:footerReference w:type="default" r:id="rId9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DFC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1B2C11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1E9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677A35C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3CCD6E7B" wp14:editId="301427BF">
          <wp:simplePos x="0" y="0"/>
          <wp:positionH relativeFrom="column">
            <wp:posOffset>109220</wp:posOffset>
          </wp:positionH>
          <wp:positionV relativeFrom="paragraph">
            <wp:posOffset>131445</wp:posOffset>
          </wp:positionV>
          <wp:extent cx="2610597" cy="5524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9" t="27723" r="12132" b="21783"/>
                  <a:stretch/>
                </pic:blipFill>
                <pic:spPr bwMode="auto">
                  <a:xfrm>
                    <a:off x="0" y="0"/>
                    <a:ext cx="261059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6D4870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3980DF48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002AAE5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162CF96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6C27067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C5F0120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3BAFD11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78B6A36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A768F54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1657111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BAF7411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5047050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655997B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CEDFD84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1239847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D95C824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62BD994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B46EE10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B27B9D9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119219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31EA1DF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934CB37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964E9B3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F666772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69B5E27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177BA90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93CE939" w14:textId="77777777" w:rsidR="00000000" w:rsidRDefault="00000000" w:rsidP="005645FF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0CC1169" w14:textId="77777777" w:rsidR="00000000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FC4E3F3" w14:textId="77777777" w:rsidR="00000000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F69D664" w14:textId="77777777" w:rsidR="00000000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A52907F" w14:textId="77777777" w:rsidR="00000000" w:rsidRPr="00D21267" w:rsidRDefault="00000000" w:rsidP="00D21267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C7E2DA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FA95CF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F615E8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57359B9" w14:textId="77777777" w:rsidR="00000000" w:rsidRPr="00C13632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545E68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5AA689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DB"/>
    <w:rsid w:val="00477C26"/>
    <w:rsid w:val="007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DEE5"/>
  <w15:chartTrackingRefBased/>
  <w15:docId w15:val="{8FD09D77-9CF6-46E6-8E2B-6B174823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7DB"/>
    <w:pPr>
      <w:spacing w:line="278" w:lineRule="auto"/>
    </w:pPr>
    <w:rPr>
      <w:rFonts w:eastAsiaTheme="minorEastAsi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1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zlaterezerv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3847</Characters>
  <Application>Microsoft Office Word</Application>
  <DocSecurity>0</DocSecurity>
  <Lines>32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2024-09-19T22:05:00Z</dcterms:created>
  <dcterms:modified xsi:type="dcterms:W3CDTF">2024-09-19T22:05:00Z</dcterms:modified>
</cp:coreProperties>
</file>