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70B3" w14:textId="77777777" w:rsidR="00F44E82" w:rsidRPr="00A8438D" w:rsidRDefault="00F44E82" w:rsidP="00F44E82">
      <w:pPr>
        <w:jc w:val="center"/>
        <w:rPr>
          <w:rFonts w:ascii="Tahoma" w:eastAsia="Tahoma" w:hAnsi="Tahoma" w:cs="Tahoma"/>
          <w:b/>
          <w:sz w:val="42"/>
          <w:szCs w:val="42"/>
        </w:rPr>
      </w:pPr>
      <w:r w:rsidRPr="00A8438D">
        <w:rPr>
          <w:rFonts w:ascii="Tahoma" w:eastAsia="Tahoma" w:hAnsi="Tahoma" w:cs="Tahoma"/>
          <w:b/>
          <w:sz w:val="42"/>
          <w:szCs w:val="42"/>
        </w:rPr>
        <w:t xml:space="preserve">Informační technologie živí přes 80 tisíc podnikatelů. Evropskou IT velmocí je Brno </w:t>
      </w:r>
    </w:p>
    <w:p w14:paraId="33244DBB" w14:textId="77777777" w:rsidR="00F44E82" w:rsidRDefault="00F44E82" w:rsidP="00F44E82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20. ČERVNA 2024 – Byznysu v informačních technologiích se v Česku nebývale daří. Firmy ročně vydělají desítky miliard. S nástupem umělé inteligence mají firmy i živnostníci žně – poptávka po jejich službách je enormní.</w:t>
      </w:r>
    </w:p>
    <w:p w14:paraId="12C6DC72" w14:textId="77777777" w:rsidR="00F44E82" w:rsidRDefault="00F44E82" w:rsidP="00F44E82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ED6B4B">
        <w:rPr>
          <w:rFonts w:ascii="Tahoma" w:eastAsia="Tahoma" w:hAnsi="Tahoma" w:cs="Tahoma"/>
          <w:sz w:val="21"/>
          <w:szCs w:val="21"/>
        </w:rPr>
        <w:t>Podle nejnovějších statistických dat Svazu průmyslu a dopravy ČR z roku 2022 působ</w:t>
      </w:r>
      <w:r>
        <w:rPr>
          <w:rFonts w:ascii="Tahoma" w:eastAsia="Tahoma" w:hAnsi="Tahoma" w:cs="Tahoma"/>
          <w:sz w:val="21"/>
          <w:szCs w:val="21"/>
        </w:rPr>
        <w:t>í</w:t>
      </w:r>
      <w:r w:rsidRPr="00ED6B4B">
        <w:rPr>
          <w:rFonts w:ascii="Tahoma" w:eastAsia="Tahoma" w:hAnsi="Tahoma" w:cs="Tahoma"/>
          <w:sz w:val="21"/>
          <w:szCs w:val="21"/>
        </w:rPr>
        <w:t xml:space="preserve"> v České republice více než 30 500 firem podnikajících v oblasti informačních technologií a telekomunikací</w:t>
      </w:r>
      <w:r>
        <w:rPr>
          <w:rFonts w:ascii="Tahoma" w:eastAsia="Tahoma" w:hAnsi="Tahoma" w:cs="Tahoma"/>
          <w:sz w:val="21"/>
          <w:szCs w:val="21"/>
        </w:rPr>
        <w:t xml:space="preserve">, živnostníků je 50 tisíc. A každoročně přibývají další.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>Poptávka po zkušených odbornících v oblasti vývoje softwaru, kybernetické bezpečnosti, cloudových řešení, umělé inteligence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a dalších progresivních technologií každým rokem výrazně roste. Zatímco v některých tradičních odvětvích dochází ke stagnaci či propouštění, pro IT specialisty je </w:t>
      </w:r>
      <w:r>
        <w:rPr>
          <w:rFonts w:ascii="Tahoma" w:eastAsia="Tahoma" w:hAnsi="Tahoma" w:cs="Tahoma"/>
          <w:color w:val="CC9900"/>
          <w:sz w:val="21"/>
          <w:szCs w:val="21"/>
        </w:rPr>
        <w:t>aktuálně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doba velmi příznivá. To je samozřejmě důvod, proč v Česku velmi rychle vznikají nové IT společnosti. 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>Sektor IT patří v Česku k nejrychleji rostoucím oborům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vůbec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každým rokem se počet společností zvýší o pět až sedm procent. 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Počet OSVČ v IT oblasti roste </w:t>
      </w:r>
      <w:r>
        <w:rPr>
          <w:rFonts w:ascii="Tahoma" w:eastAsia="Tahoma" w:hAnsi="Tahoma" w:cs="Tahoma"/>
          <w:color w:val="CC9900"/>
          <w:sz w:val="21"/>
          <w:szCs w:val="21"/>
        </w:rPr>
        <w:t>ještě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 víc, konkrétně okolo </w:t>
      </w:r>
      <w:r>
        <w:rPr>
          <w:rFonts w:ascii="Tahoma" w:eastAsia="Tahoma" w:hAnsi="Tahoma" w:cs="Tahoma"/>
          <w:color w:val="CC9900"/>
          <w:sz w:val="21"/>
          <w:szCs w:val="21"/>
        </w:rPr>
        <w:t>deseti až 15 procent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 xml:space="preserve"> ročně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popsala Denisa Janatová, ředitelka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7203CF43" w14:textId="77777777" w:rsidR="00F44E82" w:rsidRDefault="00F44E82" w:rsidP="00F44E82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E406E1">
        <w:rPr>
          <w:rFonts w:ascii="Tahoma" w:eastAsia="Tahoma" w:hAnsi="Tahoma" w:cs="Tahoma"/>
          <w:sz w:val="21"/>
          <w:szCs w:val="21"/>
        </w:rPr>
        <w:t>Většina firem působících v informačních technologiích kombinuje zaměstnanecké poměry se spoluprací s „</w:t>
      </w:r>
      <w:proofErr w:type="spellStart"/>
      <w:r w:rsidRPr="00E406E1">
        <w:rPr>
          <w:rFonts w:ascii="Tahoma" w:eastAsia="Tahoma" w:hAnsi="Tahoma" w:cs="Tahoma"/>
          <w:sz w:val="21"/>
          <w:szCs w:val="21"/>
        </w:rPr>
        <w:t>ičaři</w:t>
      </w:r>
      <w:proofErr w:type="spellEnd"/>
      <w:r w:rsidRPr="00E406E1">
        <w:rPr>
          <w:rFonts w:ascii="Tahoma" w:eastAsia="Tahoma" w:hAnsi="Tahoma" w:cs="Tahoma"/>
          <w:sz w:val="21"/>
          <w:szCs w:val="21"/>
        </w:rPr>
        <w:t xml:space="preserve">“. Živnostníci o zaměstnanecké výhody ale zpravidla nepřicházejí. </w:t>
      </w:r>
      <w:r>
        <w:rPr>
          <w:rFonts w:ascii="Tahoma" w:eastAsia="Tahoma" w:hAnsi="Tahoma" w:cs="Tahoma"/>
          <w:color w:val="CC9900"/>
          <w:sz w:val="21"/>
          <w:szCs w:val="21"/>
        </w:rPr>
        <w:t>„Práce na živnostenský list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 může být pro „</w:t>
      </w:r>
      <w:proofErr w:type="spellStart"/>
      <w:r w:rsidRPr="00334A24">
        <w:rPr>
          <w:rFonts w:ascii="Tahoma" w:eastAsia="Tahoma" w:hAnsi="Tahoma" w:cs="Tahoma"/>
          <w:color w:val="CC9900"/>
          <w:sz w:val="21"/>
          <w:szCs w:val="21"/>
        </w:rPr>
        <w:t>ajťáky</w:t>
      </w:r>
      <w:proofErr w:type="spellEnd"/>
      <w:r w:rsidRPr="00334A24">
        <w:rPr>
          <w:rFonts w:ascii="Tahoma" w:eastAsia="Tahoma" w:hAnsi="Tahoma" w:cs="Tahoma"/>
          <w:color w:val="CC9900"/>
          <w:sz w:val="21"/>
          <w:szCs w:val="21"/>
        </w:rPr>
        <w:t>“ výhodn</w:t>
      </w:r>
      <w:r>
        <w:rPr>
          <w:rFonts w:ascii="Tahoma" w:eastAsia="Tahoma" w:hAnsi="Tahoma" w:cs="Tahoma"/>
          <w:color w:val="CC9900"/>
          <w:sz w:val="21"/>
          <w:szCs w:val="21"/>
        </w:rPr>
        <w:t>á – mohou pracovat na více projektech najednou, vybírat si ze zajímavějších nabídek a zároveň si lépe organizovat čas.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P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>okud jsou schopni své projekty efektivně řídit</w:t>
      </w:r>
      <w:r>
        <w:rPr>
          <w:rFonts w:ascii="Tahoma" w:eastAsia="Tahoma" w:hAnsi="Tahoma" w:cs="Tahoma"/>
          <w:color w:val="CC9900"/>
          <w:sz w:val="21"/>
          <w:szCs w:val="21"/>
        </w:rPr>
        <w:t>, mohou si vydělat vysoko nad průměrným platem „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ajťáků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>“, který se aktuálně pohybuje kolem 75 tisíc korun měsíčně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. Některé IT firmy mají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navíc 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>nastaven</w:t>
      </w:r>
      <w:r>
        <w:rPr>
          <w:rFonts w:ascii="Tahoma" w:eastAsia="Tahoma" w:hAnsi="Tahoma" w:cs="Tahoma"/>
          <w:color w:val="CC9900"/>
          <w:sz w:val="21"/>
          <w:szCs w:val="21"/>
        </w:rPr>
        <w:t>ý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 systém, že i </w:t>
      </w:r>
      <w:r>
        <w:rPr>
          <w:rFonts w:ascii="Tahoma" w:eastAsia="Tahoma" w:hAnsi="Tahoma" w:cs="Tahoma"/>
          <w:color w:val="CC9900"/>
          <w:sz w:val="21"/>
          <w:szCs w:val="21"/>
        </w:rPr>
        <w:t>živnostníci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 mohou plně čerpat zaměstnanecké benefity, jako jsou například penze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pokrytí částky za zálohy na zdravotním pojištění nebo jazykové kurzy či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placenou 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>dovolenou</w:t>
      </w:r>
      <w:r>
        <w:rPr>
          <w:rFonts w:ascii="Tahoma" w:eastAsia="Tahoma" w:hAnsi="Tahoma" w:cs="Tahoma"/>
          <w:color w:val="CC9900"/>
          <w:sz w:val="21"/>
          <w:szCs w:val="21"/>
        </w:rPr>
        <w:t>. N</w:t>
      </w:r>
      <w:r w:rsidRPr="00197485">
        <w:rPr>
          <w:rFonts w:ascii="Tahoma" w:eastAsia="Tahoma" w:hAnsi="Tahoma" w:cs="Tahoma"/>
          <w:color w:val="CC9900"/>
          <w:sz w:val="21"/>
          <w:szCs w:val="21"/>
        </w:rPr>
        <w:t xml:space="preserve">ěkteré IT firmy nabízejí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samozřejmě </w:t>
      </w:r>
      <w:r w:rsidRPr="00197485">
        <w:rPr>
          <w:rFonts w:ascii="Tahoma" w:eastAsia="Tahoma" w:hAnsi="Tahoma" w:cs="Tahoma"/>
          <w:color w:val="CC9900"/>
          <w:sz w:val="21"/>
          <w:szCs w:val="21"/>
        </w:rPr>
        <w:t>i zaměstnanecké pozice, zejména pro zkušené odborníky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sdělila Kateřina Marešová, ředitelka obchodního oddělení a oddělení péče o zákazníky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173332FB" w14:textId="77777777" w:rsidR="00F44E82" w:rsidRPr="00197485" w:rsidRDefault="00F44E82" w:rsidP="00F44E82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Vlastnictví živnostenského oprávnění a povrchní ovládání informačních technologií ale k úspěšnému podnikání nestačí.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34A24">
        <w:rPr>
          <w:rFonts w:ascii="Tahoma" w:eastAsia="Tahoma" w:hAnsi="Tahoma" w:cs="Tahoma"/>
          <w:color w:val="CC9900"/>
          <w:sz w:val="21"/>
          <w:szCs w:val="21"/>
        </w:rPr>
        <w:t xml:space="preserve">Přitažlivé podmínky v informačních technologiích neznamenají, že by byl tento obor vhodný pro každého.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Každým rokem končí tisíce neúspěšných živnostníků, kteří své možnosti jednoduše přecenili a na obor nestačí. Pro úspěšnou kariéru v informačních technologiích je podmínkou neustálé vzdělávání. Informační technologie jsou velmi dynamický obor, který se s nástupem nových technologií neustále mění. Komu „ujede vlak“, už do něj jen velmi těžko naskočí zpět,“ </w:t>
      </w:r>
      <w:r>
        <w:rPr>
          <w:rFonts w:ascii="Tahoma" w:eastAsia="Tahoma" w:hAnsi="Tahoma" w:cs="Tahoma"/>
          <w:sz w:val="21"/>
          <w:szCs w:val="21"/>
        </w:rPr>
        <w:t>uvedla Denisa Janatová.</w:t>
      </w:r>
    </w:p>
    <w:p w14:paraId="2237818E" w14:textId="77777777" w:rsidR="00F44E82" w:rsidRPr="000F3127" w:rsidRDefault="00F44E82" w:rsidP="00F44E82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Nejvíce pracovních příležitostí nabízejí velká města, ve kterých sídlí světové IT firmy. Velmocí v informačních technologiích je Brno. D</w:t>
      </w:r>
      <w:r w:rsidRPr="00197485">
        <w:rPr>
          <w:rFonts w:ascii="Tahoma" w:eastAsia="Tahoma" w:hAnsi="Tahoma" w:cs="Tahoma"/>
          <w:sz w:val="21"/>
          <w:szCs w:val="21"/>
        </w:rPr>
        <w:t>ruhým největší</w:t>
      </w:r>
      <w:r>
        <w:rPr>
          <w:rFonts w:ascii="Tahoma" w:eastAsia="Tahoma" w:hAnsi="Tahoma" w:cs="Tahoma"/>
          <w:sz w:val="21"/>
          <w:szCs w:val="21"/>
        </w:rPr>
        <w:t>m</w:t>
      </w:r>
      <w:r w:rsidRPr="00197485">
        <w:rPr>
          <w:rFonts w:ascii="Tahoma" w:eastAsia="Tahoma" w:hAnsi="Tahoma" w:cs="Tahoma"/>
          <w:sz w:val="21"/>
          <w:szCs w:val="21"/>
        </w:rPr>
        <w:t xml:space="preserve"> centrem IT aktivit je </w:t>
      </w:r>
      <w:r>
        <w:rPr>
          <w:rFonts w:ascii="Tahoma" w:eastAsia="Tahoma" w:hAnsi="Tahoma" w:cs="Tahoma"/>
          <w:sz w:val="21"/>
          <w:szCs w:val="21"/>
        </w:rPr>
        <w:t>Praha, na třetí příčce</w:t>
      </w:r>
      <w:r w:rsidRPr="00197485">
        <w:rPr>
          <w:rFonts w:ascii="Tahoma" w:eastAsia="Tahoma" w:hAnsi="Tahoma" w:cs="Tahoma"/>
          <w:sz w:val="21"/>
          <w:szCs w:val="21"/>
        </w:rPr>
        <w:t xml:space="preserve"> pak Ostrava.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ED6B4B">
        <w:rPr>
          <w:rFonts w:ascii="Tahoma" w:eastAsia="Tahoma" w:hAnsi="Tahoma" w:cs="Tahoma"/>
          <w:color w:val="CC9900"/>
          <w:sz w:val="21"/>
          <w:szCs w:val="21"/>
        </w:rPr>
        <w:t>Brno je považováno za jedno z nejvýznamnějších center IT v tuzemsku. Významnou roli v rozvoji českého IT sektoru sehrávají také veřejné investice do výzkumných center a institucí zaměřených na digitální technologie. Brno se díky této podpoře etablovalo jako jedno z předních evropských měst pro umělou inteligenci, kybernetickou bezpečnost a superpočítačové centrum CERIT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řekla Denisa Janatová.</w:t>
      </w:r>
    </w:p>
    <w:p w14:paraId="4671EB2B" w14:textId="77777777" w:rsidR="00F44E82" w:rsidRDefault="00F44E82" w:rsidP="00F44E82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1B57AE82" w14:textId="77777777" w:rsidR="00F44E82" w:rsidRDefault="00F44E82" w:rsidP="00F44E82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0DCE7B8F" w14:textId="77777777" w:rsidR="00F44E82" w:rsidRDefault="00F44E82" w:rsidP="00F44E82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1F4AFD92" wp14:editId="1AEE7F8A">
            <wp:extent cx="828675" cy="131954"/>
            <wp:effectExtent l="0" t="0" r="0" b="0"/>
            <wp:docPr id="608767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66D79E" w14:textId="77777777" w:rsidR="00F44E82" w:rsidRDefault="00F44E82" w:rsidP="00F44E82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156AAADB" w14:textId="77777777" w:rsidR="00F44E82" w:rsidRDefault="00F44E82" w:rsidP="00F44E82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382960F6" w14:textId="77777777" w:rsidR="00F44E82" w:rsidRDefault="00F44E82" w:rsidP="00F44E82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26798932" w14:textId="77777777" w:rsidR="00F44E82" w:rsidRDefault="00F44E82" w:rsidP="00F44E82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Na začátku bylo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kariérní platformou pro IT komunitu, která klade důraz na transparentnost a otevřenou komunikaci. V rychle se měnícím a dynamickém trhu se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neustále rozvíjelo a přizpůsobovalo se novým potřebám a trendům. Postupně rostlo a reagovalo na výzvy trhu, až dosáhlo své současné podoby jako komplexní služby pro nábor, včetně </w:t>
      </w:r>
      <w:proofErr w:type="spellStart"/>
      <w:r>
        <w:rPr>
          <w:rFonts w:ascii="Tahoma" w:eastAsia="Tahoma" w:hAnsi="Tahoma" w:cs="Tahoma"/>
          <w:sz w:val="18"/>
          <w:szCs w:val="18"/>
        </w:rPr>
        <w:t>recruitmentu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1F91161D" w14:textId="77777777" w:rsidR="00F44E82" w:rsidRPr="00147D3E" w:rsidRDefault="00F44E82" w:rsidP="00F44E82">
      <w:pPr>
        <w:jc w:val="both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vychází ze zkušeností a potřeb IT komunity a spojuje je s projektovými týmy. Jeho vývoj je důkazem toho, jak se dokáže adaptovat a inovovat v souladu s potřebami a dynamikou trhu.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nejen prostředkem pro efektivní nábor IT specialistů, ale také platformou, která posiluje propojení a spolupráci mezi jednotlivci a týmy v oblasti IT.</w:t>
      </w:r>
    </w:p>
    <w:p w14:paraId="1C0A0CF0" w14:textId="77777777" w:rsidR="00F44E82" w:rsidRDefault="00F44E82" w:rsidP="00F44E82"/>
    <w:p w14:paraId="489F01B8" w14:textId="77777777" w:rsidR="00F44E82" w:rsidRDefault="00F44E82" w:rsidP="00F44E82"/>
    <w:p w14:paraId="1711C1F8" w14:textId="77777777" w:rsidR="00F44E82" w:rsidRDefault="00F44E82" w:rsidP="00F44E82"/>
    <w:p w14:paraId="0F2E096A" w14:textId="77777777" w:rsidR="00F44E82" w:rsidRDefault="00F44E82"/>
    <w:sectPr w:rsidR="00F44E82" w:rsidSect="00F44E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79D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9F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</w:t>
    </w:r>
  </w:p>
  <w:p w14:paraId="68A8B88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1609BF37" wp14:editId="0EF965EB">
          <wp:extent cx="2066716" cy="488660"/>
          <wp:effectExtent l="0" t="0" r="0" b="0"/>
          <wp:docPr id="608767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BBD44A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FF9A6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D426A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DCCE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E3722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9F510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2F56EE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CACBEE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A24911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7DEEB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083BF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F214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E13F52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EB0B15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2"/>
    <w:rsid w:val="00485293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81B6"/>
  <w15:chartTrackingRefBased/>
  <w15:docId w15:val="{FC5A0EB6-2E3D-4FBC-9815-0757BC1D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E82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itio.com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2024-06-20T07:43:00Z</dcterms:created>
  <dcterms:modified xsi:type="dcterms:W3CDTF">2024-06-20T07:43:00Z</dcterms:modified>
</cp:coreProperties>
</file>